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BA98E">
      <w:pPr>
        <w:spacing w:line="360" w:lineRule="auto"/>
        <w:jc w:val="center"/>
        <w:rPr>
          <w:rFonts w:hint="eastAsia" w:ascii="宋体" w:hAnsi="宋体" w:eastAsia="宋体"/>
          <w:b/>
          <w:sz w:val="32"/>
          <w:szCs w:val="36"/>
        </w:rPr>
      </w:pPr>
      <w:r>
        <w:rPr>
          <w:rFonts w:hint="eastAsia" w:ascii="宋体" w:hAnsi="宋体" w:eastAsia="宋体"/>
          <w:b/>
          <w:sz w:val="32"/>
          <w:szCs w:val="36"/>
        </w:rPr>
        <w:t>北京大学</w:t>
      </w:r>
      <w:r>
        <w:rPr>
          <w:rFonts w:ascii="宋体" w:hAnsi="宋体" w:eastAsia="宋体"/>
          <w:b/>
          <w:sz w:val="32"/>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eastAsia="宋体"/>
          <w:b/>
          <w:sz w:val="32"/>
          <w:szCs w:val="36"/>
        </w:rPr>
        <w:instrText xml:space="preserve">ADDIN CNKISM.UserStyle</w:instrText>
      </w:r>
      <w:r>
        <w:rPr>
          <w:rFonts w:ascii="宋体" w:hAnsi="宋体" w:eastAsia="宋体"/>
          <w:b/>
          <w:sz w:val="32"/>
          <w:szCs w:val="36"/>
        </w:rPr>
        <w:fldChar w:fldCharType="end"/>
      </w:r>
      <w:r>
        <w:rPr>
          <w:rFonts w:hint="eastAsia" w:ascii="宋体" w:hAnsi="宋体" w:eastAsia="宋体"/>
          <w:b/>
          <w:sz w:val="32"/>
          <w:szCs w:val="36"/>
        </w:rPr>
        <w:t>对外汉语教育学院</w:t>
      </w:r>
      <w:r>
        <w:rPr>
          <w:rFonts w:ascii="宋体" w:hAnsi="宋体" w:eastAsia="宋体"/>
          <w:b/>
          <w:sz w:val="32"/>
          <w:szCs w:val="36"/>
        </w:rPr>
        <w:t>202</w:t>
      </w:r>
      <w:r>
        <w:rPr>
          <w:rFonts w:hint="eastAsia" w:ascii="宋体" w:hAnsi="宋体" w:eastAsia="宋体"/>
          <w:b/>
          <w:sz w:val="32"/>
          <w:szCs w:val="36"/>
        </w:rPr>
        <w:t>6</w:t>
      </w:r>
      <w:r>
        <w:rPr>
          <w:rFonts w:ascii="宋体" w:hAnsi="宋体" w:eastAsia="宋体"/>
          <w:b/>
          <w:sz w:val="32"/>
          <w:szCs w:val="36"/>
        </w:rPr>
        <w:t>年</w:t>
      </w:r>
    </w:p>
    <w:p w14:paraId="5280662B">
      <w:pPr>
        <w:spacing w:line="360" w:lineRule="auto"/>
        <w:jc w:val="center"/>
        <w:rPr>
          <w:rFonts w:hint="eastAsia" w:ascii="宋体" w:hAnsi="宋体" w:eastAsia="宋体"/>
          <w:b/>
          <w:sz w:val="32"/>
          <w:szCs w:val="36"/>
        </w:rPr>
      </w:pPr>
      <w:r>
        <w:rPr>
          <w:rFonts w:hint="eastAsia" w:ascii="宋体" w:hAnsi="宋体" w:eastAsia="宋体"/>
          <w:b/>
          <w:sz w:val="32"/>
          <w:szCs w:val="36"/>
        </w:rPr>
        <w:t xml:space="preserve"> 全日制“申请-考核制”博士研究生</w:t>
      </w:r>
      <w:r>
        <w:rPr>
          <w:rFonts w:ascii="宋体" w:hAnsi="宋体" w:eastAsia="宋体"/>
          <w:b/>
          <w:sz w:val="32"/>
          <w:szCs w:val="36"/>
        </w:rPr>
        <w:t>招生说明</w:t>
      </w:r>
    </w:p>
    <w:p w14:paraId="7A46F6B3">
      <w:pPr>
        <w:spacing w:line="360" w:lineRule="auto"/>
        <w:ind w:firstLine="480" w:firstLineChars="200"/>
        <w:rPr>
          <w:rFonts w:hint="eastAsia" w:ascii="宋体" w:hAnsi="宋体" w:eastAsia="宋体"/>
          <w:sz w:val="24"/>
          <w:szCs w:val="24"/>
        </w:rPr>
      </w:pPr>
    </w:p>
    <w:p w14:paraId="5B1EE95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对外汉语教育学院</w:t>
      </w:r>
      <w:r>
        <w:rPr>
          <w:rFonts w:ascii="宋体" w:hAnsi="宋体" w:eastAsia="宋体"/>
          <w:sz w:val="24"/>
          <w:szCs w:val="24"/>
        </w:rPr>
        <w:t>202</w:t>
      </w:r>
      <w:r>
        <w:rPr>
          <w:rFonts w:hint="eastAsia" w:ascii="宋体" w:hAnsi="宋体" w:eastAsia="宋体"/>
          <w:sz w:val="24"/>
          <w:szCs w:val="24"/>
        </w:rPr>
        <w:t>6</w:t>
      </w:r>
      <w:r>
        <w:rPr>
          <w:rFonts w:ascii="宋体" w:hAnsi="宋体" w:eastAsia="宋体"/>
          <w:sz w:val="24"/>
          <w:szCs w:val="24"/>
        </w:rPr>
        <w:t xml:space="preserve"> 年招收博士研究生将继续实行以综合素质能力</w:t>
      </w:r>
      <w:r>
        <w:rPr>
          <w:rFonts w:hint="eastAsia" w:ascii="宋体" w:hAnsi="宋体" w:eastAsia="宋体"/>
          <w:sz w:val="24"/>
          <w:szCs w:val="24"/>
        </w:rPr>
        <w:t>考察</w:t>
      </w:r>
      <w:r>
        <w:rPr>
          <w:rFonts w:ascii="宋体" w:hAnsi="宋体" w:eastAsia="宋体"/>
          <w:sz w:val="24"/>
          <w:szCs w:val="24"/>
        </w:rPr>
        <w:t>为基础的“申请</w:t>
      </w:r>
      <w:r>
        <w:rPr>
          <w:rFonts w:hint="eastAsia" w:ascii="宋体" w:hAnsi="宋体" w:eastAsia="宋体"/>
          <w:sz w:val="24"/>
          <w:szCs w:val="24"/>
        </w:rPr>
        <w:t>-</w:t>
      </w:r>
      <w:r>
        <w:rPr>
          <w:rFonts w:ascii="宋体" w:hAnsi="宋体" w:eastAsia="宋体"/>
          <w:sz w:val="24"/>
          <w:szCs w:val="24"/>
        </w:rPr>
        <w:t>考核制”。申请人须按照《北京大学202</w:t>
      </w:r>
      <w:r>
        <w:rPr>
          <w:rFonts w:hint="eastAsia" w:ascii="宋体" w:hAnsi="宋体" w:eastAsia="宋体"/>
          <w:sz w:val="24"/>
          <w:szCs w:val="24"/>
        </w:rPr>
        <w:t>6</w:t>
      </w:r>
      <w:r>
        <w:rPr>
          <w:rFonts w:ascii="宋体" w:hAnsi="宋体" w:eastAsia="宋体"/>
          <w:sz w:val="24"/>
          <w:szCs w:val="24"/>
        </w:rPr>
        <w:t>年博士研究生招生简章（校本部）》和我院的相关要求进行报名并提交申请材料。</w:t>
      </w:r>
    </w:p>
    <w:p w14:paraId="6B946F7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学校课程与教学专业汉语国际教育方向教育博士专业学位研究生学习方式为非全日制，报考类别为定向就业，招生说明另见《2</w:t>
      </w:r>
      <w:r>
        <w:rPr>
          <w:rFonts w:ascii="宋体" w:hAnsi="宋体" w:eastAsia="宋体"/>
          <w:sz w:val="24"/>
          <w:szCs w:val="24"/>
        </w:rPr>
        <w:t>02</w:t>
      </w:r>
      <w:r>
        <w:rPr>
          <w:rFonts w:hint="eastAsia" w:ascii="宋体" w:hAnsi="宋体" w:eastAsia="宋体"/>
          <w:sz w:val="24"/>
          <w:szCs w:val="24"/>
        </w:rPr>
        <w:t>6年</w:t>
      </w:r>
      <w:r>
        <w:rPr>
          <w:rFonts w:ascii="宋体" w:hAnsi="宋体" w:eastAsia="宋体"/>
          <w:sz w:val="24"/>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eastAsia="宋体"/>
          <w:sz w:val="24"/>
          <w:szCs w:val="24"/>
        </w:rPr>
        <w:instrText xml:space="preserve">ADDIN CNKISM.UserStyle</w:instrText>
      </w:r>
      <w:r>
        <w:rPr>
          <w:rFonts w:ascii="宋体" w:hAnsi="宋体" w:eastAsia="宋体"/>
          <w:sz w:val="24"/>
          <w:szCs w:val="24"/>
        </w:rPr>
        <w:fldChar w:fldCharType="end"/>
      </w:r>
      <w:r>
        <w:rPr>
          <w:rFonts w:hint="eastAsia" w:ascii="宋体" w:hAnsi="宋体" w:eastAsia="宋体"/>
          <w:sz w:val="24"/>
          <w:szCs w:val="24"/>
        </w:rPr>
        <w:t>北京大学对外汉语教育学院学校课程与教学专业汉语国际教育方向</w:t>
      </w:r>
      <w:r>
        <w:rPr>
          <w:rFonts w:ascii="宋体" w:hAnsi="宋体" w:eastAsia="宋体"/>
          <w:sz w:val="24"/>
          <w:szCs w:val="24"/>
        </w:rPr>
        <w:t>教育博士专业学位</w:t>
      </w:r>
      <w:r>
        <w:rPr>
          <w:rFonts w:hint="eastAsia" w:ascii="宋体" w:hAnsi="宋体" w:eastAsia="宋体"/>
          <w:sz w:val="24"/>
          <w:szCs w:val="24"/>
        </w:rPr>
        <w:t>研究生招生说明》。</w:t>
      </w:r>
    </w:p>
    <w:p w14:paraId="0F732F8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语言学及应用语言学专业学习方式为全日制，报考类别为非定向就业，档案需转入我校，具体招生说明如下：</w:t>
      </w:r>
    </w:p>
    <w:p w14:paraId="7C503FB6">
      <w:pPr>
        <w:spacing w:before="156" w:beforeLines="50" w:line="360" w:lineRule="auto"/>
        <w:ind w:firstLine="482" w:firstLineChars="200"/>
        <w:rPr>
          <w:rFonts w:hint="eastAsia" w:ascii="宋体" w:hAnsi="宋体" w:eastAsia="宋体"/>
          <w:b/>
          <w:sz w:val="24"/>
          <w:szCs w:val="24"/>
        </w:rPr>
      </w:pPr>
      <w:r>
        <w:rPr>
          <w:rFonts w:hint="eastAsia" w:ascii="宋体" w:hAnsi="宋体" w:eastAsia="宋体"/>
          <w:b/>
          <w:sz w:val="24"/>
          <w:szCs w:val="24"/>
        </w:rPr>
        <w:t>一、报名基本条件</w:t>
      </w:r>
    </w:p>
    <w:p w14:paraId="4CAD998C">
      <w:pPr>
        <w:spacing w:line="360" w:lineRule="auto"/>
        <w:ind w:firstLine="480" w:firstLineChars="200"/>
        <w:rPr>
          <w:rFonts w:hint="eastAsia" w:ascii="宋体" w:hAnsi="宋体" w:eastAsia="宋体"/>
          <w:sz w:val="24"/>
          <w:szCs w:val="24"/>
        </w:rPr>
      </w:pPr>
      <w:r>
        <w:rPr>
          <w:rFonts w:ascii="宋体" w:hAnsi="宋体" w:eastAsia="宋体"/>
          <w:sz w:val="24"/>
          <w:szCs w:val="24"/>
        </w:rPr>
        <w:t>1．拥护中国共产党的领导，具有正确的政治方向，热爱祖国，品行端正</w:t>
      </w:r>
      <w:r>
        <w:rPr>
          <w:rFonts w:hint="eastAsia" w:ascii="宋体" w:hAnsi="宋体" w:eastAsia="宋体"/>
          <w:sz w:val="24"/>
          <w:szCs w:val="24"/>
        </w:rPr>
        <w:t>，遵纪守法；</w:t>
      </w:r>
    </w:p>
    <w:p w14:paraId="3AE8679A">
      <w:pPr>
        <w:spacing w:line="360" w:lineRule="auto"/>
        <w:ind w:firstLine="480" w:firstLineChars="200"/>
        <w:rPr>
          <w:rFonts w:hint="eastAsia" w:ascii="宋体" w:hAnsi="宋体" w:eastAsia="宋体"/>
          <w:sz w:val="24"/>
          <w:szCs w:val="24"/>
        </w:rPr>
      </w:pPr>
      <w:r>
        <w:rPr>
          <w:rFonts w:ascii="宋体" w:hAnsi="宋体" w:eastAsia="宋体"/>
          <w:sz w:val="24"/>
          <w:szCs w:val="24"/>
        </w:rPr>
        <w:t>2．报名攻读博士学位研究生须符合以下条件之一：</w:t>
      </w:r>
    </w:p>
    <w:p w14:paraId="00DB4D5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1）已获得硕士或博士学位；</w:t>
      </w:r>
    </w:p>
    <w:p w14:paraId="78321C7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2）应届硕士毕业生（须在</w:t>
      </w:r>
      <w:r>
        <w:rPr>
          <w:rFonts w:hint="eastAsia" w:ascii="宋体" w:hAnsi="宋体" w:eastAsia="宋体"/>
          <w:sz w:val="24"/>
          <w:szCs w:val="24"/>
        </w:rPr>
        <w:t>录取当年入学前取</w:t>
      </w:r>
      <w:r>
        <w:rPr>
          <w:rFonts w:ascii="宋体" w:hAnsi="宋体" w:eastAsia="宋体"/>
          <w:sz w:val="24"/>
          <w:szCs w:val="24"/>
        </w:rPr>
        <w:t>得硕士学位</w:t>
      </w:r>
      <w:r>
        <w:rPr>
          <w:rFonts w:hint="eastAsia" w:ascii="宋体" w:hAnsi="宋体" w:eastAsia="宋体"/>
          <w:sz w:val="24"/>
          <w:szCs w:val="24"/>
        </w:rPr>
        <w:t>；在国（境）外院校取得学位者，还须在录取当年入学前取得教育部留学服务中心出具的《国（境）外学历学位认证书》</w:t>
      </w:r>
      <w:r>
        <w:rPr>
          <w:rFonts w:ascii="宋体" w:hAnsi="宋体" w:eastAsia="宋体"/>
          <w:sz w:val="24"/>
          <w:szCs w:val="24"/>
        </w:rPr>
        <w:t>）；</w:t>
      </w:r>
    </w:p>
    <w:p w14:paraId="242EA44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3）获得学士学位满6年（从获得学士学位之日算起到博士生入学之日）的人员，可按照同等学力身份报考</w:t>
      </w:r>
      <w:r>
        <w:rPr>
          <w:rFonts w:hint="eastAsia" w:ascii="宋体" w:hAnsi="宋体" w:eastAsia="宋体"/>
          <w:sz w:val="24"/>
          <w:szCs w:val="24"/>
        </w:rPr>
        <w:t>［</w:t>
      </w:r>
      <w:r>
        <w:rPr>
          <w:rFonts w:ascii="宋体" w:hAnsi="宋体" w:eastAsia="宋体"/>
          <w:sz w:val="24"/>
          <w:szCs w:val="24"/>
        </w:rPr>
        <w:t>以同等学力身份报考者，须在报考学科、专业或相近研究领域的全国核心期刊上已发表2篇以上学术论文（以第一或第二作者），或已获得省、部级以上与报考学科相关的科研成果奖励（排名前5名）</w:t>
      </w:r>
      <w:r>
        <w:rPr>
          <w:rFonts w:hint="eastAsia" w:ascii="宋体" w:hAnsi="宋体" w:eastAsia="宋体"/>
          <w:sz w:val="24"/>
          <w:szCs w:val="24"/>
        </w:rPr>
        <w:t>］。</w:t>
      </w:r>
    </w:p>
    <w:p w14:paraId="307C7991">
      <w:pPr>
        <w:spacing w:line="360" w:lineRule="auto"/>
        <w:ind w:firstLine="480" w:firstLineChars="200"/>
        <w:rPr>
          <w:rFonts w:hint="eastAsia" w:ascii="宋体" w:hAnsi="宋体" w:eastAsia="宋体"/>
          <w:sz w:val="24"/>
          <w:szCs w:val="24"/>
        </w:rPr>
      </w:pPr>
      <w:r>
        <w:rPr>
          <w:rFonts w:ascii="宋体" w:hAnsi="宋体" w:eastAsia="宋体"/>
          <w:sz w:val="24"/>
          <w:szCs w:val="24"/>
        </w:rPr>
        <w:t>3．身心健康状况符合北京大学研究生入学体检要求。</w:t>
      </w:r>
    </w:p>
    <w:p w14:paraId="13FC5E64">
      <w:pPr>
        <w:spacing w:line="360" w:lineRule="auto"/>
        <w:ind w:firstLine="482" w:firstLineChars="200"/>
        <w:rPr>
          <w:rFonts w:hint="eastAsia" w:ascii="宋体" w:hAnsi="宋体" w:eastAsia="宋体"/>
          <w:b/>
          <w:sz w:val="24"/>
          <w:szCs w:val="24"/>
        </w:rPr>
      </w:pPr>
    </w:p>
    <w:p w14:paraId="332B8A44">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二、申请流程</w:t>
      </w:r>
    </w:p>
    <w:p w14:paraId="56EFCA5D">
      <w:pPr>
        <w:widowControl/>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 </w:t>
      </w:r>
      <w:r>
        <w:rPr>
          <w:rFonts w:hint="eastAsia" w:ascii="宋体" w:hAnsi="宋体" w:eastAsia="宋体"/>
          <w:sz w:val="24"/>
          <w:szCs w:val="24"/>
        </w:rPr>
        <w:t>网上报名</w:t>
      </w:r>
    </w:p>
    <w:p w14:paraId="0B1D8594">
      <w:pPr>
        <w:widowControl/>
        <w:spacing w:line="36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rPr>
        <w:t>报名时间：</w:t>
      </w:r>
      <w:r>
        <w:rPr>
          <w:rFonts w:hint="eastAsia" w:ascii="宋体" w:hAnsi="宋体" w:eastAsia="宋体"/>
          <w:sz w:val="24"/>
          <w:szCs w:val="24"/>
          <w:highlight w:val="none"/>
        </w:rPr>
        <w:t>2025年10月20日09:00至12月19日17:00。</w:t>
      </w:r>
    </w:p>
    <w:p w14:paraId="28FD4188">
      <w:pPr>
        <w:spacing w:line="360" w:lineRule="auto"/>
        <w:ind w:firstLine="480" w:firstLineChars="200"/>
        <w:jc w:val="left"/>
        <w:rPr>
          <w:rFonts w:hint="eastAsia" w:ascii="宋体" w:hAnsi="宋体" w:eastAsia="宋体"/>
          <w:sz w:val="24"/>
          <w:szCs w:val="24"/>
        </w:rPr>
      </w:pPr>
      <w:bookmarkStart w:id="0" w:name="_Hlk83365791"/>
      <w:r>
        <w:rPr>
          <w:rFonts w:ascii="宋体" w:hAnsi="宋体" w:eastAsia="宋体"/>
          <w:sz w:val="24"/>
          <w:szCs w:val="24"/>
        </w:rPr>
        <w:t>报名网站：北京大学研究生招生网</w:t>
      </w:r>
    </w:p>
    <w:p w14:paraId="6C7F55AE">
      <w:pPr>
        <w:spacing w:line="360" w:lineRule="auto"/>
        <w:ind w:firstLine="480" w:firstLineChars="200"/>
        <w:rPr>
          <w:rFonts w:hint="eastAsia" w:ascii="宋体" w:hAnsi="宋体" w:eastAsia="宋体"/>
          <w:sz w:val="24"/>
          <w:szCs w:val="24"/>
        </w:rPr>
      </w:pPr>
      <w:r>
        <w:rPr>
          <w:rFonts w:ascii="宋体" w:hAnsi="宋体" w:eastAsia="宋体"/>
          <w:sz w:val="24"/>
          <w:szCs w:val="24"/>
        </w:rPr>
        <w:t>（网址</w:t>
      </w:r>
      <w:r>
        <w:rPr>
          <w:rFonts w:hint="eastAsia" w:ascii="宋体" w:hAnsi="宋体" w:eastAsia="宋体"/>
          <w:sz w:val="24"/>
          <w:szCs w:val="24"/>
        </w:rPr>
        <w:t>：</w:t>
      </w:r>
      <w:r>
        <w:rPr>
          <w:rFonts w:ascii="宋体" w:hAnsi="宋体" w:eastAsia="宋体"/>
          <w:color w:val="000000" w:themeColor="text1"/>
          <w:sz w:val="24"/>
          <w:szCs w:val="24"/>
          <w14:textFill>
            <w14:solidFill>
              <w14:schemeClr w14:val="tx1"/>
            </w14:solidFill>
          </w14:textFill>
        </w:rPr>
        <w:t>https://admission.pku.edu.cn/applications/</w:t>
      </w:r>
      <w:r>
        <w:rPr>
          <w:rFonts w:ascii="宋体" w:hAnsi="宋体" w:eastAsia="宋体"/>
          <w:sz w:val="24"/>
          <w:szCs w:val="24"/>
        </w:rPr>
        <w:t>）。</w:t>
      </w:r>
    </w:p>
    <w:bookmarkEnd w:id="0"/>
    <w:p w14:paraId="61CDBDC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报名系统中所填电子邮箱和手机号码为我院通知考生的重要方式，请务必</w:t>
      </w:r>
    </w:p>
    <w:p w14:paraId="60288E46">
      <w:pPr>
        <w:spacing w:line="360" w:lineRule="auto"/>
        <w:rPr>
          <w:rFonts w:hint="eastAsia" w:ascii="宋体" w:hAnsi="宋体" w:eastAsia="宋体"/>
          <w:sz w:val="24"/>
          <w:szCs w:val="24"/>
        </w:rPr>
      </w:pPr>
      <w:r>
        <w:rPr>
          <w:rFonts w:hint="eastAsia" w:ascii="宋体" w:hAnsi="宋体" w:eastAsia="宋体"/>
          <w:sz w:val="24"/>
          <w:szCs w:val="24"/>
        </w:rPr>
        <w:t>确保正确无误并定时查看邮箱信息。报名费用为每个报考志愿</w:t>
      </w:r>
      <w:r>
        <w:rPr>
          <w:rFonts w:ascii="宋体" w:hAnsi="宋体" w:eastAsia="宋体"/>
          <w:sz w:val="24"/>
          <w:szCs w:val="24"/>
        </w:rPr>
        <w:t>200元，须于规定</w:t>
      </w:r>
      <w:r>
        <w:rPr>
          <w:rFonts w:hint="eastAsia" w:ascii="宋体" w:hAnsi="宋体" w:eastAsia="宋体"/>
          <w:sz w:val="24"/>
          <w:szCs w:val="24"/>
        </w:rPr>
        <w:t>的报名</w:t>
      </w:r>
      <w:r>
        <w:rPr>
          <w:rFonts w:ascii="宋体" w:hAnsi="宋体" w:eastAsia="宋体"/>
          <w:sz w:val="24"/>
          <w:szCs w:val="24"/>
        </w:rPr>
        <w:t>时间内</w:t>
      </w:r>
      <w:r>
        <w:rPr>
          <w:rFonts w:hint="eastAsia" w:ascii="宋体" w:hAnsi="宋体" w:eastAsia="宋体"/>
          <w:sz w:val="24"/>
          <w:szCs w:val="24"/>
        </w:rPr>
        <w:t>在北大研招网在线支付；一旦缴费成功，报名费用不予退还。</w:t>
      </w:r>
    </w:p>
    <w:p w14:paraId="05F7C936">
      <w:pPr>
        <w:spacing w:line="360" w:lineRule="auto"/>
        <w:ind w:firstLine="480" w:firstLineChars="200"/>
        <w:rPr>
          <w:rFonts w:hint="eastAsia" w:ascii="宋体" w:hAnsi="宋体" w:eastAsia="宋体"/>
          <w:color w:val="auto"/>
          <w:sz w:val="24"/>
          <w:szCs w:val="24"/>
        </w:rPr>
      </w:pPr>
      <w:r>
        <w:rPr>
          <w:rFonts w:hint="eastAsia" w:ascii="宋体" w:hAnsi="宋体" w:eastAsia="宋体"/>
          <w:sz w:val="24"/>
          <w:szCs w:val="24"/>
        </w:rPr>
        <w:t>申请人应当如实填写个人学习情况等网上报名信息并提供真实材料，认真核对网上报名信息。学院收到申请人报名材料或报名截止后，申请人的报名信息一律不得修改</w:t>
      </w:r>
      <w:r>
        <w:rPr>
          <w:rFonts w:hint="eastAsia" w:ascii="宋体" w:hAnsi="宋体" w:eastAsia="宋体"/>
          <w:color w:val="auto"/>
          <w:sz w:val="24"/>
          <w:szCs w:val="24"/>
        </w:rPr>
        <w:t>。因网报信息填写错误、填报虚假信息（含本人图像信息）而造成不能参加后续考核或录取的，后果由申请人本人承担。</w:t>
      </w:r>
    </w:p>
    <w:p w14:paraId="481F6FA2">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 </w:t>
      </w:r>
      <w:r>
        <w:rPr>
          <w:rFonts w:hint="eastAsia" w:ascii="宋体" w:hAnsi="宋体" w:eastAsia="宋体"/>
          <w:sz w:val="24"/>
          <w:szCs w:val="24"/>
        </w:rPr>
        <w:t>提交申请材料清单</w:t>
      </w:r>
    </w:p>
    <w:p w14:paraId="0A9DE8B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请于</w:t>
      </w:r>
      <w:r>
        <w:rPr>
          <w:rFonts w:ascii="宋体" w:hAnsi="宋体" w:eastAsia="宋体"/>
          <w:b/>
          <w:sz w:val="24"/>
          <w:szCs w:val="24"/>
        </w:rPr>
        <w:t>202</w:t>
      </w:r>
      <w:r>
        <w:rPr>
          <w:rFonts w:hint="eastAsia" w:ascii="宋体" w:hAnsi="宋体" w:eastAsia="宋体"/>
          <w:b/>
          <w:sz w:val="24"/>
          <w:szCs w:val="24"/>
        </w:rPr>
        <w:t>5</w:t>
      </w:r>
      <w:r>
        <w:rPr>
          <w:rFonts w:ascii="宋体" w:hAnsi="宋体" w:eastAsia="宋体"/>
          <w:b/>
          <w:sz w:val="24"/>
          <w:szCs w:val="24"/>
        </w:rPr>
        <w:t>年</w:t>
      </w:r>
      <w:r>
        <w:rPr>
          <w:rFonts w:ascii="宋体" w:hAnsi="宋体" w:eastAsia="宋体"/>
          <w:b/>
          <w:sz w:val="24"/>
          <w:szCs w:val="24"/>
          <w:highlight w:val="none"/>
        </w:rPr>
        <w:t>12月</w:t>
      </w:r>
      <w:r>
        <w:rPr>
          <w:rFonts w:hint="eastAsia" w:ascii="宋体" w:hAnsi="宋体" w:eastAsia="宋体"/>
          <w:b/>
          <w:sz w:val="24"/>
          <w:szCs w:val="24"/>
          <w:highlight w:val="none"/>
        </w:rPr>
        <w:t>22</w:t>
      </w:r>
      <w:r>
        <w:rPr>
          <w:rFonts w:ascii="宋体" w:hAnsi="宋体" w:eastAsia="宋体"/>
          <w:b/>
          <w:sz w:val="24"/>
          <w:szCs w:val="24"/>
          <w:highlight w:val="none"/>
        </w:rPr>
        <w:t>日中午</w:t>
      </w:r>
      <w:r>
        <w:rPr>
          <w:rFonts w:ascii="宋体" w:hAnsi="宋体" w:eastAsia="宋体"/>
          <w:b/>
          <w:sz w:val="24"/>
          <w:szCs w:val="24"/>
        </w:rPr>
        <w:t>12:00之前</w:t>
      </w:r>
      <w:r>
        <w:rPr>
          <w:rFonts w:ascii="宋体" w:hAnsi="宋体" w:eastAsia="宋体"/>
          <w:sz w:val="24"/>
          <w:szCs w:val="24"/>
        </w:rPr>
        <w:t>向我院研究生</w:t>
      </w:r>
      <w:r>
        <w:rPr>
          <w:rFonts w:hint="eastAsia" w:ascii="宋体" w:hAnsi="宋体" w:eastAsia="宋体"/>
          <w:sz w:val="24"/>
          <w:szCs w:val="24"/>
        </w:rPr>
        <w:t>事务中心</w:t>
      </w:r>
      <w:r>
        <w:rPr>
          <w:rFonts w:ascii="宋体" w:hAnsi="宋体" w:eastAsia="宋体"/>
          <w:b/>
          <w:sz w:val="24"/>
          <w:szCs w:val="24"/>
        </w:rPr>
        <w:t>寄达</w:t>
      </w:r>
      <w:r>
        <w:rPr>
          <w:rFonts w:hint="eastAsia" w:ascii="宋体" w:hAnsi="宋体" w:eastAsia="宋体"/>
          <w:bCs/>
          <w:sz w:val="24"/>
          <w:szCs w:val="24"/>
        </w:rPr>
        <w:t>（仅接受顺丰快递或E</w:t>
      </w:r>
      <w:r>
        <w:rPr>
          <w:rFonts w:ascii="宋体" w:hAnsi="宋体" w:eastAsia="宋体"/>
          <w:bCs/>
          <w:sz w:val="24"/>
          <w:szCs w:val="24"/>
        </w:rPr>
        <w:t>MS</w:t>
      </w:r>
      <w:r>
        <w:rPr>
          <w:rFonts w:hint="eastAsia" w:ascii="宋体" w:hAnsi="宋体" w:eastAsia="宋体"/>
          <w:bCs/>
          <w:sz w:val="24"/>
          <w:szCs w:val="24"/>
        </w:rPr>
        <w:t>快递，不接受任何形式的同城急送及闪送）</w:t>
      </w:r>
      <w:r>
        <w:rPr>
          <w:rFonts w:ascii="宋体" w:hAnsi="宋体" w:eastAsia="宋体"/>
          <w:sz w:val="24"/>
          <w:szCs w:val="24"/>
        </w:rPr>
        <w:t>以下申请资料</w:t>
      </w:r>
      <w:r>
        <w:rPr>
          <w:rFonts w:hint="eastAsia" w:ascii="宋体" w:hAnsi="宋体" w:eastAsia="宋体"/>
          <w:sz w:val="24"/>
          <w:szCs w:val="24"/>
        </w:rPr>
        <w:t>：</w:t>
      </w:r>
    </w:p>
    <w:p w14:paraId="704D5D03">
      <w:pPr>
        <w:widowControl/>
        <w:shd w:val="clear" w:color="auto" w:fill="FFFFFF"/>
        <w:spacing w:line="360" w:lineRule="auto"/>
        <w:ind w:firstLine="480" w:firstLineChars="200"/>
        <w:textAlignment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（1）《北京大学</w:t>
      </w:r>
      <w:r>
        <w:rPr>
          <w:rFonts w:hint="eastAsia" w:ascii="宋体" w:hAnsi="宋体" w:eastAsia="宋体" w:cs="宋体"/>
          <w:kern w:val="0"/>
          <w:sz w:val="24"/>
          <w:szCs w:val="24"/>
        </w:rPr>
        <w:t>2026</w:t>
      </w:r>
      <w:r>
        <w:rPr>
          <w:rFonts w:hint="eastAsia" w:ascii="宋体" w:hAnsi="宋体" w:eastAsia="宋体" w:cs="宋体"/>
          <w:color w:val="333333"/>
          <w:kern w:val="0"/>
          <w:sz w:val="24"/>
          <w:szCs w:val="24"/>
        </w:rPr>
        <w:t>年攻读博士学位研究生报考登记表》（网上报名并缴费成功后，</w:t>
      </w:r>
      <w:r>
        <w:rPr>
          <w:rFonts w:hint="eastAsia" w:ascii="宋体" w:hAnsi="宋体" w:eastAsia="宋体" w:cs="宋体"/>
          <w:color w:val="000000" w:themeColor="text1"/>
          <w:kern w:val="0"/>
          <w:sz w:val="24"/>
          <w:szCs w:val="24"/>
          <w14:textFill>
            <w14:solidFill>
              <w14:schemeClr w14:val="tx1"/>
            </w14:solidFill>
          </w14:textFill>
        </w:rPr>
        <w:t>方</w:t>
      </w:r>
      <w:r>
        <w:rPr>
          <w:rFonts w:hint="eastAsia" w:ascii="宋体" w:hAnsi="宋体" w:eastAsia="宋体" w:cs="宋体"/>
          <w:color w:val="333333"/>
          <w:kern w:val="0"/>
          <w:sz w:val="24"/>
          <w:szCs w:val="24"/>
        </w:rPr>
        <w:t>可在报名网站下载报考登记表，打印后须在第2页和第3页上签署本人姓名），</w:t>
      </w:r>
      <w:r>
        <w:rPr>
          <w:rFonts w:hint="eastAsia" w:ascii="宋体" w:hAnsi="宋体" w:eastAsia="宋体" w:cs="宋体"/>
          <w:b/>
          <w:bCs/>
          <w:color w:val="333333"/>
          <w:kern w:val="0"/>
          <w:sz w:val="24"/>
          <w:szCs w:val="24"/>
        </w:rPr>
        <w:t>在首页填写一位意向导师</w:t>
      </w:r>
      <w:r>
        <w:rPr>
          <w:rFonts w:hint="eastAsia" w:ascii="宋体" w:hAnsi="宋体" w:eastAsia="宋体" w:cs="宋体"/>
          <w:color w:val="333333"/>
          <w:kern w:val="0"/>
          <w:sz w:val="24"/>
          <w:szCs w:val="24"/>
        </w:rPr>
        <w:t>；</w:t>
      </w:r>
    </w:p>
    <w:p w14:paraId="62F62849">
      <w:pPr>
        <w:widowControl/>
        <w:shd w:val="clear" w:color="auto" w:fill="FFFFFF"/>
        <w:spacing w:line="360" w:lineRule="auto"/>
        <w:ind w:firstLine="480" w:firstLineChars="200"/>
        <w:textAlignment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val="en-US" w:eastAsia="zh-CN"/>
        </w:rPr>
        <w:t>最高学历、学位证书复印件（应届硕士毕业生报名时须提交所在培养单位研究生院或研究生部的证明信，入学前须取得国家承认的硕士研究生学历和学位证书或教育部留学服务中心出具的《国（境）外学历学位认证书》，审核通过后方可报到注册；已在国（境）外院校获得学历学位证书的，报名时须提交由教育部留学服务中心出具的《国（境）外学历学位认证书》）</w:t>
      </w:r>
      <w:r>
        <w:rPr>
          <w:rFonts w:hint="eastAsia" w:ascii="宋体" w:hAnsi="宋体" w:eastAsia="宋体" w:cs="宋体"/>
          <w:color w:val="333333"/>
          <w:kern w:val="0"/>
          <w:sz w:val="24"/>
          <w:szCs w:val="24"/>
        </w:rPr>
        <w:t>；</w:t>
      </w:r>
    </w:p>
    <w:p w14:paraId="18745D73">
      <w:pPr>
        <w:widowControl/>
        <w:shd w:val="clear" w:color="auto" w:fill="FFFFFF"/>
        <w:spacing w:line="360" w:lineRule="auto"/>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（3）身份证复印件；</w:t>
      </w:r>
    </w:p>
    <w:p w14:paraId="4331D1F4">
      <w:pPr>
        <w:widowControl/>
        <w:shd w:val="clear" w:color="auto" w:fill="FFFFFF"/>
        <w:spacing w:line="360" w:lineRule="auto"/>
        <w:ind w:firstLine="480" w:firstLineChars="200"/>
        <w:textAlignment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（4）硕士毕业</w:t>
      </w:r>
      <w:r>
        <w:rPr>
          <w:rFonts w:hint="eastAsia" w:ascii="宋体" w:hAnsi="宋体" w:eastAsia="宋体" w:cs="宋体"/>
          <w:kern w:val="0"/>
          <w:sz w:val="24"/>
          <w:szCs w:val="24"/>
        </w:rPr>
        <w:t>（在读）</w:t>
      </w:r>
      <w:r>
        <w:rPr>
          <w:rFonts w:hint="eastAsia" w:ascii="宋体" w:hAnsi="宋体" w:eastAsia="宋体" w:cs="宋体"/>
          <w:color w:val="333333"/>
          <w:kern w:val="0"/>
          <w:sz w:val="24"/>
          <w:szCs w:val="24"/>
        </w:rPr>
        <w:t>院校</w:t>
      </w:r>
      <w:r>
        <w:rPr>
          <w:rFonts w:hint="eastAsia" w:ascii="宋体" w:hAnsi="宋体" w:eastAsia="宋体" w:cs="宋体"/>
          <w:color w:val="333333"/>
          <w:kern w:val="0"/>
          <w:sz w:val="24"/>
          <w:szCs w:val="24"/>
          <w:lang w:val="en-US" w:eastAsia="zh-CN"/>
        </w:rPr>
        <w:t>出具的</w:t>
      </w:r>
      <w:r>
        <w:rPr>
          <w:rFonts w:hint="eastAsia" w:ascii="宋体" w:hAnsi="宋体" w:eastAsia="宋体" w:cs="宋体"/>
          <w:color w:val="333333"/>
          <w:kern w:val="0"/>
          <w:sz w:val="24"/>
          <w:szCs w:val="24"/>
        </w:rPr>
        <w:t>正式成绩单原件；</w:t>
      </w:r>
    </w:p>
    <w:p w14:paraId="1C9BE7E2">
      <w:pPr>
        <w:widowControl/>
        <w:shd w:val="clear" w:color="auto" w:fill="FFFFFF"/>
        <w:spacing w:line="360" w:lineRule="auto"/>
        <w:ind w:firstLine="480" w:firstLineChars="200"/>
        <w:textAlignment w:val="center"/>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5）硕士学位论文（应届硕士毕业生可提供学位论文摘要和论文目录等）、</w:t>
      </w:r>
      <w:r>
        <w:rPr>
          <w:rFonts w:hint="eastAsia" w:ascii="宋体" w:hAnsi="宋体" w:eastAsia="宋体"/>
          <w:sz w:val="24"/>
          <w:szCs w:val="24"/>
        </w:rPr>
        <w:t>能体现自身学术水平的代表性学术论文</w:t>
      </w:r>
      <w:r>
        <w:rPr>
          <w:rFonts w:ascii="宋体" w:hAnsi="宋体" w:eastAsia="宋体"/>
          <w:sz w:val="24"/>
          <w:szCs w:val="24"/>
        </w:rPr>
        <w:t xml:space="preserve">及其他原创性研究成果等； </w:t>
      </w:r>
    </w:p>
    <w:p w14:paraId="241B7E9A">
      <w:pPr>
        <w:widowControl/>
        <w:shd w:val="clear" w:color="auto" w:fill="FFFFFF"/>
        <w:spacing w:line="360" w:lineRule="auto"/>
        <w:ind w:firstLine="480" w:firstLineChars="200"/>
        <w:jc w:val="left"/>
        <w:textAlignment w:val="center"/>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个人陈述</w:t>
      </w:r>
      <w:r>
        <w:rPr>
          <w:rFonts w:ascii="宋体" w:hAnsi="宋体" w:eastAsia="宋体"/>
          <w:sz w:val="24"/>
          <w:szCs w:val="24"/>
        </w:rPr>
        <w:t>（含对报考学科专业的认识、拟定</w:t>
      </w:r>
      <w:r>
        <w:rPr>
          <w:rFonts w:hint="eastAsia" w:ascii="宋体" w:hAnsi="宋体" w:eastAsia="宋体"/>
          <w:sz w:val="24"/>
          <w:szCs w:val="24"/>
        </w:rPr>
        <w:t>学术</w:t>
      </w:r>
      <w:r>
        <w:rPr>
          <w:rFonts w:ascii="宋体" w:hAnsi="宋体" w:eastAsia="宋体"/>
          <w:sz w:val="24"/>
          <w:szCs w:val="24"/>
        </w:rPr>
        <w:t>研究计划，3000字左右，模板下载网址：https://admission.pku.edu.cn/zsxx/bszs/bssqkh/index.htm</w:t>
      </w:r>
      <w:r>
        <w:rPr>
          <w:rFonts w:hint="eastAsia" w:ascii="宋体" w:hAnsi="宋体" w:eastAsia="宋体"/>
          <w:sz w:val="24"/>
          <w:szCs w:val="24"/>
        </w:rPr>
        <w:t>，</w:t>
      </w:r>
      <w:bookmarkStart w:id="1" w:name="_Hlk83371301"/>
      <w:r>
        <w:rPr>
          <w:rFonts w:hint="eastAsia" w:ascii="宋体" w:hAnsi="宋体" w:eastAsia="宋体"/>
          <w:sz w:val="24"/>
          <w:szCs w:val="24"/>
        </w:rPr>
        <w:t>复试时</w:t>
      </w:r>
      <w:r>
        <w:rPr>
          <w:rFonts w:hint="eastAsia" w:ascii="宋体" w:hAnsi="宋体" w:eastAsia="宋体" w:cs="Trebuchet MS"/>
          <w:color w:val="000000" w:themeColor="text1"/>
          <w:kern w:val="24"/>
          <w:sz w:val="24"/>
          <w:szCs w:val="24"/>
          <w14:textFill>
            <w14:solidFill>
              <w14:schemeClr w14:val="tx1"/>
            </w14:solidFill>
          </w14:textFill>
        </w:rPr>
        <w:t>复试专家组将对考生提交的学术研究计划进行打分，百分制计分，60分及格，不及格者不予录取</w:t>
      </w:r>
      <w:bookmarkEnd w:id="1"/>
      <w:r>
        <w:rPr>
          <w:rFonts w:hint="eastAsia" w:ascii="宋体" w:hAnsi="宋体" w:eastAsia="宋体" w:cs="Trebuchet MS"/>
          <w:color w:val="000000" w:themeColor="text1"/>
          <w:kern w:val="24"/>
          <w:sz w:val="24"/>
          <w:szCs w:val="24"/>
          <w14:textFill>
            <w14:solidFill>
              <w14:schemeClr w14:val="tx1"/>
            </w14:solidFill>
          </w14:textFill>
        </w:rPr>
        <w:t>）</w:t>
      </w:r>
      <w:r>
        <w:rPr>
          <w:rFonts w:ascii="宋体" w:hAnsi="宋体" w:eastAsia="宋体"/>
          <w:sz w:val="24"/>
          <w:szCs w:val="24"/>
        </w:rPr>
        <w:t>；</w:t>
      </w:r>
    </w:p>
    <w:p w14:paraId="39AE8079">
      <w:pPr>
        <w:widowControl/>
        <w:shd w:val="clear" w:color="auto" w:fill="FFFFFF"/>
        <w:spacing w:line="360" w:lineRule="auto"/>
        <w:ind w:firstLine="480" w:firstLineChars="200"/>
        <w:textAlignment w:val="center"/>
        <w:rPr>
          <w:rFonts w:hint="eastAsia" w:ascii="宋体" w:hAnsi="宋体" w:eastAsia="宋体" w:cs="宋体"/>
          <w:kern w:val="0"/>
          <w:sz w:val="24"/>
          <w:szCs w:val="24"/>
          <w:highlight w:val="none"/>
          <w:lang w:eastAsia="zh-CN"/>
        </w:rPr>
      </w:pPr>
      <w:r>
        <w:rPr>
          <w:rFonts w:hint="eastAsia" w:ascii="宋体" w:hAnsi="宋体" w:eastAsia="宋体"/>
          <w:sz w:val="24"/>
          <w:szCs w:val="24"/>
        </w:rPr>
        <w:t>（</w:t>
      </w:r>
      <w:r>
        <w:rPr>
          <w:rFonts w:ascii="宋体" w:hAnsi="宋体" w:eastAsia="宋体"/>
          <w:sz w:val="24"/>
          <w:szCs w:val="24"/>
        </w:rPr>
        <w:t>7）</w:t>
      </w:r>
      <w:r>
        <w:rPr>
          <w:rFonts w:ascii="宋体" w:hAnsi="宋体" w:eastAsia="宋体"/>
          <w:sz w:val="24"/>
          <w:szCs w:val="24"/>
          <w:highlight w:val="none"/>
        </w:rPr>
        <w:t>两封专家推荐信</w:t>
      </w:r>
      <w:r>
        <w:rPr>
          <w:rFonts w:hint="eastAsia" w:ascii="宋体" w:hAnsi="宋体" w:eastAsia="宋体" w:cs="宋体"/>
          <w:kern w:val="0"/>
          <w:sz w:val="24"/>
          <w:szCs w:val="24"/>
          <w:highlight w:val="none"/>
        </w:rPr>
        <w:t>，专家须具有所报考学科专业领域</w:t>
      </w:r>
      <w:r>
        <w:rPr>
          <w:rFonts w:ascii="宋体" w:hAnsi="宋体" w:eastAsia="宋体"/>
          <w:sz w:val="24"/>
          <w:szCs w:val="24"/>
          <w:highlight w:val="none"/>
        </w:rPr>
        <w:t>副教授（</w:t>
      </w:r>
      <w:r>
        <w:rPr>
          <w:rFonts w:hint="eastAsia" w:ascii="宋体" w:hAnsi="宋体" w:eastAsia="宋体"/>
          <w:sz w:val="24"/>
          <w:szCs w:val="24"/>
          <w:highlight w:val="none"/>
        </w:rPr>
        <w:t>或相当专业技术职称</w:t>
      </w:r>
      <w:r>
        <w:rPr>
          <w:rFonts w:ascii="宋体" w:hAnsi="宋体" w:eastAsia="宋体"/>
          <w:sz w:val="24"/>
          <w:szCs w:val="24"/>
          <w:highlight w:val="none"/>
        </w:rPr>
        <w:t>）</w:t>
      </w:r>
      <w:r>
        <w:rPr>
          <w:rFonts w:hint="eastAsia" w:ascii="宋体" w:hAnsi="宋体" w:eastAsia="宋体"/>
          <w:sz w:val="24"/>
          <w:szCs w:val="24"/>
          <w:highlight w:val="none"/>
        </w:rPr>
        <w:t>及</w:t>
      </w:r>
      <w:r>
        <w:rPr>
          <w:rFonts w:ascii="宋体" w:hAnsi="宋体" w:eastAsia="宋体"/>
          <w:sz w:val="24"/>
          <w:szCs w:val="24"/>
          <w:highlight w:val="none"/>
        </w:rPr>
        <w:t>以上职称</w:t>
      </w:r>
      <w:r>
        <w:rPr>
          <w:rFonts w:hint="eastAsia" w:ascii="宋体" w:hAnsi="宋体" w:eastAsia="宋体"/>
          <w:sz w:val="24"/>
          <w:szCs w:val="24"/>
          <w:highlight w:val="none"/>
        </w:rPr>
        <w:t>；</w:t>
      </w:r>
      <w:r>
        <w:rPr>
          <w:rFonts w:hint="eastAsia" w:ascii="宋体" w:hAnsi="宋体" w:eastAsia="宋体" w:cs="宋体"/>
          <w:b/>
          <w:bCs/>
          <w:kern w:val="0"/>
          <w:sz w:val="24"/>
          <w:szCs w:val="24"/>
          <w:highlight w:val="none"/>
          <w:u w:val="single"/>
        </w:rPr>
        <w:t>专家须线上填写提交推荐信</w:t>
      </w:r>
      <w:r>
        <w:rPr>
          <w:rFonts w:hint="eastAsia" w:ascii="宋体" w:hAnsi="宋体" w:eastAsia="宋体" w:cs="宋体"/>
          <w:kern w:val="0"/>
          <w:sz w:val="24"/>
          <w:szCs w:val="24"/>
          <w:highlight w:val="none"/>
        </w:rPr>
        <w:t>，然后将推荐信原件密封并由推荐专家在信封封口骑缝处签字。</w:t>
      </w:r>
      <w:r>
        <w:rPr>
          <w:rFonts w:hint="eastAsia" w:ascii="宋体" w:hAnsi="宋体" w:eastAsia="宋体" w:cs="宋体"/>
          <w:kern w:val="0"/>
          <w:sz w:val="24"/>
          <w:szCs w:val="24"/>
          <w:highlight w:val="none"/>
          <w:lang w:val="en-US" w:eastAsia="zh-CN"/>
        </w:rPr>
        <w:fldChar w:fldCharType="begin"/>
      </w:r>
      <w:r>
        <w:rPr>
          <w:rFonts w:hint="eastAsia" w:ascii="宋体" w:hAnsi="宋体" w:eastAsia="宋体" w:cs="宋体"/>
          <w:kern w:val="0"/>
          <w:sz w:val="24"/>
          <w:szCs w:val="24"/>
          <w:highlight w:val="none"/>
          <w:lang w:val="en-US" w:eastAsia="zh-CN"/>
        </w:rPr>
        <w:instrText xml:space="preserve"> HYPERLINK "附件1：考生上传推荐信流程（2026）.pdf" </w:instrText>
      </w:r>
      <w:r>
        <w:rPr>
          <w:rFonts w:hint="eastAsia" w:ascii="宋体" w:hAnsi="宋体" w:eastAsia="宋体" w:cs="宋体"/>
          <w:kern w:val="0"/>
          <w:sz w:val="24"/>
          <w:szCs w:val="24"/>
          <w:highlight w:val="none"/>
          <w:lang w:val="en-US" w:eastAsia="zh-CN"/>
        </w:rPr>
        <w:fldChar w:fldCharType="separate"/>
      </w:r>
      <w:r>
        <w:rPr>
          <w:rStyle w:val="10"/>
          <w:rFonts w:hint="eastAsia" w:ascii="宋体" w:hAnsi="宋体" w:eastAsia="宋体" w:cs="宋体"/>
          <w:kern w:val="0"/>
          <w:sz w:val="24"/>
          <w:szCs w:val="24"/>
          <w:highlight w:val="none"/>
          <w:lang w:val="en-US" w:eastAsia="zh-CN"/>
        </w:rPr>
        <w:t>请点击查看</w:t>
      </w:r>
      <w:r>
        <w:rPr>
          <w:rStyle w:val="10"/>
          <w:rFonts w:hint="eastAsia" w:ascii="宋体" w:hAnsi="宋体" w:eastAsia="宋体"/>
          <w:sz w:val="24"/>
          <w:szCs w:val="24"/>
          <w:highlight w:val="none"/>
        </w:rPr>
        <w:t>考生上传推荐信流程</w:t>
      </w:r>
      <w:r>
        <w:rPr>
          <w:rFonts w:hint="eastAsia" w:ascii="宋体" w:hAnsi="宋体" w:eastAsia="宋体" w:cs="宋体"/>
          <w:kern w:val="0"/>
          <w:sz w:val="24"/>
          <w:szCs w:val="24"/>
          <w:highlight w:val="none"/>
          <w:lang w:val="en-US" w:eastAsia="zh-CN"/>
        </w:rPr>
        <w:fldChar w:fldCharType="end"/>
      </w:r>
      <w:r>
        <w:rPr>
          <w:rFonts w:hint="eastAsia" w:ascii="宋体" w:hAnsi="宋体" w:eastAsia="宋体" w:cs="宋体"/>
          <w:kern w:val="0"/>
          <w:sz w:val="24"/>
          <w:szCs w:val="24"/>
          <w:highlight w:val="none"/>
          <w:lang w:val="en-US" w:eastAsia="zh-CN"/>
        </w:rPr>
        <w:t>；</w:t>
      </w:r>
      <w:bookmarkStart w:id="8" w:name="_GoBack"/>
      <w:bookmarkEnd w:id="8"/>
    </w:p>
    <w:p w14:paraId="5A902901">
      <w:pPr>
        <w:widowControl/>
        <w:shd w:val="clear" w:color="auto" w:fill="FFFFFF"/>
        <w:spacing w:line="360" w:lineRule="auto"/>
        <w:ind w:firstLine="480" w:firstLineChars="200"/>
        <w:jc w:val="left"/>
        <w:textAlignment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（8）外语水平证明</w:t>
      </w:r>
    </w:p>
    <w:p w14:paraId="6781FD67">
      <w:pPr>
        <w:widowControl/>
        <w:shd w:val="clear" w:color="auto" w:fill="FFFFFF"/>
        <w:spacing w:line="360" w:lineRule="auto"/>
        <w:ind w:firstLine="480" w:firstLineChars="20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5年内取得且至入学时仍在有效期内的外语水平证明复印件，以下英语水平证明选择一种：</w:t>
      </w:r>
    </w:p>
    <w:p w14:paraId="4A11038B">
      <w:pPr>
        <w:spacing w:line="360" w:lineRule="auto"/>
        <w:ind w:firstLine="720" w:firstLineChars="300"/>
        <w:rPr>
          <w:rFonts w:hint="eastAsia" w:ascii="宋体" w:hAnsi="宋体" w:eastAsia="宋体" w:cs="宋体"/>
          <w:color w:val="333333"/>
          <w:kern w:val="0"/>
          <w:sz w:val="24"/>
          <w:szCs w:val="24"/>
        </w:rPr>
      </w:pPr>
      <w:r>
        <w:rPr>
          <w:rFonts w:ascii="宋体" w:hAnsi="宋体" w:eastAsia="宋体"/>
          <w:sz w:val="24"/>
          <w:szCs w:val="24"/>
        </w:rPr>
        <w:t>1</w:t>
      </w:r>
      <w:r>
        <w:rPr>
          <w:rFonts w:hint="eastAsia" w:ascii="宋体" w:hAnsi="宋体" w:eastAsia="宋体"/>
          <w:sz w:val="24"/>
          <w:szCs w:val="24"/>
        </w:rPr>
        <w:t>）大学英语六级5</w:t>
      </w:r>
      <w:r>
        <w:rPr>
          <w:rFonts w:ascii="宋体" w:hAnsi="宋体" w:eastAsia="宋体"/>
          <w:sz w:val="24"/>
          <w:szCs w:val="24"/>
        </w:rPr>
        <w:t>50</w:t>
      </w:r>
      <w:r>
        <w:rPr>
          <w:rFonts w:hint="eastAsia" w:ascii="宋体" w:hAnsi="宋体" w:eastAsia="宋体"/>
          <w:sz w:val="24"/>
          <w:szCs w:val="24"/>
        </w:rPr>
        <w:t>分及以上（</w:t>
      </w:r>
      <w:r>
        <w:rPr>
          <w:rFonts w:ascii="宋体" w:hAnsi="宋体" w:eastAsia="宋体"/>
          <w:sz w:val="24"/>
          <w:szCs w:val="24"/>
        </w:rPr>
        <w:t>202</w:t>
      </w:r>
      <w:r>
        <w:rPr>
          <w:rFonts w:hint="eastAsia" w:ascii="宋体" w:hAnsi="宋体" w:eastAsia="宋体"/>
          <w:sz w:val="24"/>
          <w:szCs w:val="24"/>
        </w:rPr>
        <w:t>1</w:t>
      </w:r>
      <w:r>
        <w:rPr>
          <w:rFonts w:ascii="宋体" w:hAnsi="宋体" w:eastAsia="宋体"/>
          <w:sz w:val="24"/>
          <w:szCs w:val="24"/>
        </w:rPr>
        <w:t>年9</w:t>
      </w:r>
      <w:r>
        <w:rPr>
          <w:rFonts w:hint="eastAsia" w:ascii="宋体" w:hAnsi="宋体" w:eastAsia="宋体"/>
          <w:sz w:val="24"/>
          <w:szCs w:val="24"/>
        </w:rPr>
        <w:t>月1日以后参加考试</w:t>
      </w:r>
      <w:r>
        <w:rPr>
          <w:rFonts w:ascii="宋体" w:hAnsi="宋体" w:eastAsia="宋体"/>
          <w:sz w:val="24"/>
          <w:szCs w:val="24"/>
        </w:rPr>
        <w:t>）</w:t>
      </w:r>
      <w:r>
        <w:rPr>
          <w:rFonts w:hint="eastAsia" w:ascii="宋体" w:hAnsi="宋体" w:eastAsia="宋体"/>
          <w:sz w:val="24"/>
          <w:szCs w:val="24"/>
        </w:rPr>
        <w:t>；</w:t>
      </w:r>
    </w:p>
    <w:p w14:paraId="4AB59E9F">
      <w:pPr>
        <w:spacing w:line="360" w:lineRule="auto"/>
        <w:ind w:firstLine="720" w:firstLineChars="3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）托福</w:t>
      </w:r>
      <w:r>
        <w:rPr>
          <w:rFonts w:ascii="宋体" w:hAnsi="宋体" w:eastAsia="宋体"/>
          <w:sz w:val="24"/>
          <w:szCs w:val="24"/>
        </w:rPr>
        <w:t>90分及以上</w:t>
      </w:r>
      <w:r>
        <w:rPr>
          <w:rFonts w:hint="eastAsia" w:ascii="宋体" w:hAnsi="宋体" w:eastAsia="宋体"/>
          <w:sz w:val="24"/>
          <w:szCs w:val="24"/>
        </w:rPr>
        <w:t>（</w:t>
      </w:r>
      <w:r>
        <w:rPr>
          <w:rFonts w:ascii="宋体" w:hAnsi="宋体" w:eastAsia="宋体"/>
          <w:sz w:val="24"/>
          <w:szCs w:val="24"/>
        </w:rPr>
        <w:t>20</w:t>
      </w:r>
      <w:r>
        <w:rPr>
          <w:rFonts w:hint="eastAsia" w:ascii="宋体" w:hAnsi="宋体" w:eastAsia="宋体"/>
          <w:sz w:val="24"/>
          <w:szCs w:val="24"/>
        </w:rPr>
        <w:t>24</w:t>
      </w:r>
      <w:r>
        <w:rPr>
          <w:rFonts w:ascii="宋体" w:hAnsi="宋体" w:eastAsia="宋体"/>
          <w:sz w:val="24"/>
          <w:szCs w:val="24"/>
        </w:rPr>
        <w:t>年9</w:t>
      </w:r>
      <w:r>
        <w:rPr>
          <w:rFonts w:hint="eastAsia" w:ascii="宋体" w:hAnsi="宋体" w:eastAsia="宋体"/>
          <w:sz w:val="24"/>
          <w:szCs w:val="24"/>
        </w:rPr>
        <w:t>月1日以后参加考试</w:t>
      </w:r>
      <w:r>
        <w:rPr>
          <w:rFonts w:ascii="宋体" w:hAnsi="宋体" w:eastAsia="宋体"/>
          <w:sz w:val="24"/>
          <w:szCs w:val="24"/>
        </w:rPr>
        <w:t>）；</w:t>
      </w:r>
    </w:p>
    <w:p w14:paraId="34931056">
      <w:pPr>
        <w:spacing w:line="360" w:lineRule="auto"/>
        <w:ind w:firstLine="720" w:firstLineChars="300"/>
        <w:rPr>
          <w:rFonts w:hint="eastAsia" w:ascii="宋体" w:hAnsi="宋体" w:eastAsia="宋体"/>
          <w:sz w:val="24"/>
          <w:szCs w:val="24"/>
        </w:rPr>
      </w:pPr>
      <w:r>
        <w:rPr>
          <w:rFonts w:ascii="宋体" w:hAnsi="宋体" w:eastAsia="宋体"/>
          <w:sz w:val="24"/>
          <w:szCs w:val="24"/>
        </w:rPr>
        <w:t>3）</w:t>
      </w:r>
      <w:r>
        <w:rPr>
          <w:rFonts w:hint="eastAsia" w:ascii="宋体" w:hAnsi="宋体" w:eastAsia="宋体"/>
          <w:sz w:val="24"/>
          <w:szCs w:val="24"/>
        </w:rPr>
        <w:t>雅思</w:t>
      </w:r>
      <w:r>
        <w:rPr>
          <w:rFonts w:ascii="宋体" w:hAnsi="宋体" w:eastAsia="宋体"/>
          <w:sz w:val="24"/>
          <w:szCs w:val="24"/>
        </w:rPr>
        <w:t>（A类）6.5分及以上</w:t>
      </w:r>
      <w:r>
        <w:rPr>
          <w:rFonts w:hint="eastAsia" w:ascii="宋体" w:hAnsi="宋体" w:eastAsia="宋体"/>
          <w:sz w:val="24"/>
          <w:szCs w:val="24"/>
        </w:rPr>
        <w:t>（</w:t>
      </w:r>
      <w:r>
        <w:rPr>
          <w:rFonts w:ascii="宋体" w:hAnsi="宋体" w:eastAsia="宋体"/>
          <w:sz w:val="24"/>
          <w:szCs w:val="24"/>
        </w:rPr>
        <w:t>20</w:t>
      </w:r>
      <w:r>
        <w:rPr>
          <w:rFonts w:hint="eastAsia" w:ascii="宋体" w:hAnsi="宋体" w:eastAsia="宋体"/>
          <w:sz w:val="24"/>
          <w:szCs w:val="24"/>
        </w:rPr>
        <w:t>24</w:t>
      </w:r>
      <w:r>
        <w:rPr>
          <w:rFonts w:ascii="宋体" w:hAnsi="宋体" w:eastAsia="宋体"/>
          <w:sz w:val="24"/>
          <w:szCs w:val="24"/>
        </w:rPr>
        <w:t>年9</w:t>
      </w:r>
      <w:r>
        <w:rPr>
          <w:rFonts w:hint="eastAsia" w:ascii="宋体" w:hAnsi="宋体" w:eastAsia="宋体"/>
          <w:sz w:val="24"/>
          <w:szCs w:val="24"/>
        </w:rPr>
        <w:t>月1日以后参加考试</w:t>
      </w:r>
      <w:r>
        <w:rPr>
          <w:rFonts w:ascii="宋体" w:hAnsi="宋体" w:eastAsia="宋体"/>
          <w:sz w:val="24"/>
          <w:szCs w:val="24"/>
        </w:rPr>
        <w:t>）；</w:t>
      </w:r>
    </w:p>
    <w:p w14:paraId="7BF00F68">
      <w:pPr>
        <w:spacing w:line="360" w:lineRule="auto"/>
        <w:ind w:firstLine="720" w:firstLineChars="300"/>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GRE</w:t>
      </w:r>
      <w:r>
        <w:rPr>
          <w:rFonts w:ascii="宋体" w:hAnsi="宋体" w:eastAsia="宋体"/>
          <w:sz w:val="24"/>
          <w:szCs w:val="24"/>
        </w:rPr>
        <w:t xml:space="preserve"> 310分及以上</w:t>
      </w:r>
      <w:r>
        <w:rPr>
          <w:rFonts w:hint="eastAsia" w:ascii="宋体" w:hAnsi="宋体" w:eastAsia="宋体"/>
          <w:sz w:val="24"/>
          <w:szCs w:val="24"/>
        </w:rPr>
        <w:t>（</w:t>
      </w:r>
      <w:r>
        <w:rPr>
          <w:rFonts w:ascii="宋体" w:hAnsi="宋体" w:eastAsia="宋体"/>
          <w:sz w:val="24"/>
          <w:szCs w:val="24"/>
        </w:rPr>
        <w:t>202</w:t>
      </w:r>
      <w:r>
        <w:rPr>
          <w:rFonts w:hint="eastAsia" w:ascii="宋体" w:hAnsi="宋体" w:eastAsia="宋体"/>
          <w:sz w:val="24"/>
          <w:szCs w:val="24"/>
        </w:rPr>
        <w:t>1</w:t>
      </w:r>
      <w:r>
        <w:rPr>
          <w:rFonts w:ascii="宋体" w:hAnsi="宋体" w:eastAsia="宋体"/>
          <w:sz w:val="24"/>
          <w:szCs w:val="24"/>
        </w:rPr>
        <w:t>年9</w:t>
      </w:r>
      <w:r>
        <w:rPr>
          <w:rFonts w:hint="eastAsia" w:ascii="宋体" w:hAnsi="宋体" w:eastAsia="宋体"/>
          <w:sz w:val="24"/>
          <w:szCs w:val="24"/>
        </w:rPr>
        <w:t>月1日以后参加考试</w:t>
      </w:r>
      <w:r>
        <w:rPr>
          <w:rFonts w:ascii="宋体" w:hAnsi="宋体" w:eastAsia="宋体"/>
          <w:sz w:val="24"/>
          <w:szCs w:val="24"/>
        </w:rPr>
        <w:t>）；</w:t>
      </w:r>
    </w:p>
    <w:p w14:paraId="4173A671">
      <w:pPr>
        <w:spacing w:line="360" w:lineRule="auto"/>
        <w:ind w:firstLine="720" w:firstLineChars="300"/>
        <w:rPr>
          <w:rFonts w:hint="eastAsia" w:ascii="宋体" w:hAnsi="宋体" w:eastAsia="宋体"/>
          <w:sz w:val="24"/>
          <w:szCs w:val="24"/>
        </w:rPr>
      </w:pPr>
      <w:r>
        <w:rPr>
          <w:rFonts w:ascii="宋体" w:hAnsi="宋体" w:eastAsia="宋体"/>
          <w:sz w:val="24"/>
          <w:szCs w:val="24"/>
        </w:rPr>
        <w:t>5</w:t>
      </w:r>
      <w:r>
        <w:rPr>
          <w:rFonts w:hint="eastAsia" w:ascii="宋体" w:hAnsi="宋体" w:eastAsia="宋体"/>
          <w:sz w:val="24"/>
          <w:szCs w:val="24"/>
        </w:rPr>
        <w:t>）国家英语专业八级成绩合格（</w:t>
      </w:r>
      <w:r>
        <w:rPr>
          <w:rFonts w:ascii="宋体" w:hAnsi="宋体" w:eastAsia="宋体"/>
          <w:sz w:val="24"/>
          <w:szCs w:val="24"/>
        </w:rPr>
        <w:t>202</w:t>
      </w:r>
      <w:r>
        <w:rPr>
          <w:rFonts w:hint="eastAsia" w:ascii="宋体" w:hAnsi="宋体" w:eastAsia="宋体"/>
          <w:sz w:val="24"/>
          <w:szCs w:val="24"/>
        </w:rPr>
        <w:t>1</w:t>
      </w:r>
      <w:r>
        <w:rPr>
          <w:rFonts w:ascii="宋体" w:hAnsi="宋体" w:eastAsia="宋体"/>
          <w:sz w:val="24"/>
          <w:szCs w:val="24"/>
        </w:rPr>
        <w:t>年9</w:t>
      </w:r>
      <w:r>
        <w:rPr>
          <w:rFonts w:hint="eastAsia" w:ascii="宋体" w:hAnsi="宋体" w:eastAsia="宋体"/>
          <w:sz w:val="24"/>
          <w:szCs w:val="24"/>
        </w:rPr>
        <w:t>月1日以后参加考试</w:t>
      </w:r>
      <w:r>
        <w:rPr>
          <w:rFonts w:ascii="宋体" w:hAnsi="宋体" w:eastAsia="宋体"/>
          <w:sz w:val="24"/>
          <w:szCs w:val="24"/>
        </w:rPr>
        <w:t>）</w:t>
      </w:r>
      <w:r>
        <w:rPr>
          <w:rFonts w:hint="eastAsia" w:ascii="宋体" w:hAnsi="宋体" w:eastAsia="宋体"/>
          <w:sz w:val="24"/>
          <w:szCs w:val="24"/>
        </w:rPr>
        <w:t>；</w:t>
      </w:r>
    </w:p>
    <w:p w14:paraId="10D323E3">
      <w:pPr>
        <w:spacing w:line="360" w:lineRule="auto"/>
        <w:ind w:firstLine="720" w:firstLineChars="300"/>
        <w:rPr>
          <w:rFonts w:hint="eastAsia" w:ascii="宋体" w:hAnsi="宋体" w:eastAsia="宋体"/>
          <w:sz w:val="24"/>
          <w:szCs w:val="24"/>
        </w:rPr>
      </w:pPr>
      <w:r>
        <w:rPr>
          <w:rFonts w:ascii="宋体" w:hAnsi="宋体" w:eastAsia="宋体"/>
          <w:sz w:val="24"/>
          <w:szCs w:val="24"/>
        </w:rPr>
        <w:t>6</w:t>
      </w:r>
      <w:r>
        <w:rPr>
          <w:rFonts w:hint="eastAsia" w:ascii="宋体" w:hAnsi="宋体" w:eastAsia="宋体"/>
          <w:sz w:val="24"/>
          <w:szCs w:val="24"/>
        </w:rPr>
        <w:t>）在英语国家或地区使用英语撰写论文并获得学位</w:t>
      </w:r>
      <w:r>
        <w:rPr>
          <w:rFonts w:hint="eastAsia" w:ascii="宋体" w:hAnsi="宋体" w:eastAsia="宋体" w:cs="宋体"/>
          <w:color w:val="333333"/>
          <w:kern w:val="0"/>
          <w:sz w:val="24"/>
          <w:szCs w:val="24"/>
        </w:rPr>
        <w:t>（</w:t>
      </w:r>
      <w:r>
        <w:rPr>
          <w:rFonts w:ascii="宋体" w:hAnsi="宋体" w:eastAsia="宋体" w:cs="宋体"/>
          <w:color w:val="333333"/>
          <w:kern w:val="0"/>
          <w:sz w:val="24"/>
          <w:szCs w:val="24"/>
        </w:rPr>
        <w:t>202</w:t>
      </w:r>
      <w:r>
        <w:rPr>
          <w:rFonts w:hint="eastAsia" w:ascii="宋体" w:hAnsi="宋体" w:eastAsia="宋体" w:cs="宋体"/>
          <w:color w:val="333333"/>
          <w:kern w:val="0"/>
          <w:sz w:val="24"/>
          <w:szCs w:val="24"/>
        </w:rPr>
        <w:t>1</w:t>
      </w:r>
      <w:r>
        <w:rPr>
          <w:rFonts w:ascii="宋体" w:hAnsi="宋体" w:eastAsia="宋体" w:cs="宋体"/>
          <w:color w:val="333333"/>
          <w:kern w:val="0"/>
          <w:sz w:val="24"/>
          <w:szCs w:val="24"/>
        </w:rPr>
        <w:t>年9</w:t>
      </w:r>
      <w:r>
        <w:rPr>
          <w:rFonts w:hint="eastAsia" w:ascii="宋体" w:hAnsi="宋体" w:eastAsia="宋体" w:cs="宋体"/>
          <w:color w:val="333333"/>
          <w:kern w:val="0"/>
          <w:sz w:val="24"/>
          <w:szCs w:val="24"/>
        </w:rPr>
        <w:t>月</w:t>
      </w:r>
      <w:r>
        <w:rPr>
          <w:rFonts w:ascii="宋体" w:hAnsi="宋体" w:eastAsia="宋体" w:cs="宋体"/>
          <w:color w:val="333333"/>
          <w:kern w:val="0"/>
          <w:sz w:val="24"/>
          <w:szCs w:val="24"/>
        </w:rPr>
        <w:t>1日以后获得</w:t>
      </w:r>
      <w:r>
        <w:rPr>
          <w:rFonts w:hint="eastAsia" w:ascii="宋体" w:hAnsi="宋体" w:eastAsia="宋体" w:cs="宋体"/>
          <w:color w:val="333333"/>
          <w:kern w:val="0"/>
          <w:sz w:val="24"/>
          <w:szCs w:val="24"/>
        </w:rPr>
        <w:t>学位</w:t>
      </w:r>
      <w:r>
        <w:rPr>
          <w:rFonts w:ascii="宋体" w:hAnsi="宋体" w:eastAsia="宋体" w:cs="宋体"/>
          <w:color w:val="333333"/>
          <w:kern w:val="0"/>
          <w:sz w:val="24"/>
          <w:szCs w:val="24"/>
        </w:rPr>
        <w:t>）</w:t>
      </w:r>
      <w:r>
        <w:rPr>
          <w:rFonts w:hint="eastAsia" w:ascii="宋体" w:hAnsi="宋体" w:eastAsia="宋体"/>
          <w:sz w:val="24"/>
          <w:szCs w:val="24"/>
        </w:rPr>
        <w:t>，须同时提交学位证书复印件和由教育部留学服务中心出具的认证报告。</w:t>
      </w:r>
    </w:p>
    <w:p w14:paraId="6A95F386">
      <w:pPr>
        <w:spacing w:line="360" w:lineRule="auto"/>
        <w:ind w:firstLine="720" w:firstLineChars="300"/>
        <w:rPr>
          <w:rFonts w:hint="eastAsia" w:ascii="宋体" w:hAnsi="宋体" w:eastAsia="宋体"/>
          <w:sz w:val="24"/>
          <w:szCs w:val="24"/>
        </w:rPr>
      </w:pPr>
      <w:r>
        <w:rPr>
          <w:rFonts w:ascii="宋体" w:hAnsi="宋体" w:eastAsia="宋体"/>
          <w:sz w:val="24"/>
          <w:szCs w:val="24"/>
        </w:rPr>
        <w:t>7</w:t>
      </w:r>
      <w:r>
        <w:rPr>
          <w:rFonts w:hint="eastAsia" w:ascii="宋体" w:hAnsi="宋体" w:eastAsia="宋体"/>
          <w:sz w:val="24"/>
          <w:szCs w:val="24"/>
        </w:rPr>
        <w:t>）其它语种（仅限学校规定的法语、德语、日语、俄语）语言水平可提供以下证明之一：</w:t>
      </w:r>
      <w:r>
        <w:rPr>
          <w:rFonts w:ascii="宋体" w:hAnsi="宋体" w:eastAsia="宋体"/>
          <w:sz w:val="24"/>
          <w:szCs w:val="24"/>
        </w:rPr>
        <w:t xml:space="preserve"> </w:t>
      </w:r>
    </w:p>
    <w:p w14:paraId="0952D763">
      <w:pPr>
        <w:spacing w:line="360" w:lineRule="auto"/>
        <w:ind w:left="480" w:firstLine="240" w:firstLineChars="100"/>
        <w:rPr>
          <w:rFonts w:hint="eastAsia" w:ascii="宋体" w:hAnsi="宋体" w:eastAsia="宋体" w:cs="宋体"/>
          <w:kern w:val="0"/>
          <w:sz w:val="24"/>
          <w:szCs w:val="24"/>
        </w:rPr>
      </w:pPr>
      <w:bookmarkStart w:id="2" w:name="_Hlk83310512"/>
      <w:r>
        <w:rPr>
          <w:rFonts w:hint="eastAsia" w:ascii="宋体" w:hAnsi="宋体" w:eastAsia="宋体"/>
          <w:sz w:val="24"/>
          <w:szCs w:val="24"/>
        </w:rPr>
        <w:t>A</w:t>
      </w:r>
      <w:r>
        <w:rPr>
          <w:rFonts w:ascii="宋体" w:hAnsi="宋体" w:eastAsia="宋体"/>
          <w:sz w:val="24"/>
          <w:szCs w:val="24"/>
        </w:rPr>
        <w:t>.</w:t>
      </w:r>
      <w:r>
        <w:rPr>
          <w:rFonts w:hint="eastAsia" w:ascii="宋体" w:hAnsi="宋体" w:eastAsia="宋体"/>
          <w:sz w:val="24"/>
          <w:szCs w:val="24"/>
        </w:rPr>
        <w:t>该语种所在国家级水平考试：达到专业学习水平（</w:t>
      </w:r>
      <w:r>
        <w:rPr>
          <w:rFonts w:ascii="宋体" w:hAnsi="宋体" w:eastAsia="宋体" w:cs="宋体"/>
          <w:kern w:val="0"/>
          <w:sz w:val="24"/>
          <w:szCs w:val="24"/>
        </w:rPr>
        <w:t>202</w:t>
      </w:r>
      <w:r>
        <w:rPr>
          <w:rFonts w:hint="eastAsia" w:ascii="宋体" w:hAnsi="宋体" w:eastAsia="宋体" w:cs="宋体"/>
          <w:kern w:val="0"/>
          <w:sz w:val="24"/>
          <w:szCs w:val="24"/>
        </w:rPr>
        <w:t>1</w:t>
      </w:r>
      <w:r>
        <w:rPr>
          <w:rFonts w:ascii="宋体" w:hAnsi="宋体" w:eastAsia="宋体" w:cs="宋体"/>
          <w:kern w:val="0"/>
          <w:sz w:val="24"/>
          <w:szCs w:val="24"/>
        </w:rPr>
        <w:t>年9</w:t>
      </w:r>
      <w:r>
        <w:rPr>
          <w:rFonts w:hint="eastAsia" w:ascii="宋体" w:hAnsi="宋体" w:eastAsia="宋体" w:cs="宋体"/>
          <w:kern w:val="0"/>
          <w:sz w:val="24"/>
          <w:szCs w:val="24"/>
        </w:rPr>
        <w:t>月</w:t>
      </w:r>
      <w:r>
        <w:rPr>
          <w:rFonts w:ascii="宋体" w:hAnsi="宋体" w:eastAsia="宋体" w:cs="宋体"/>
          <w:kern w:val="0"/>
          <w:sz w:val="24"/>
          <w:szCs w:val="24"/>
        </w:rPr>
        <w:t>1日</w:t>
      </w:r>
      <w:r>
        <w:rPr>
          <w:rFonts w:hint="eastAsia" w:ascii="宋体" w:hAnsi="宋体" w:eastAsia="宋体" w:cs="宋体"/>
          <w:kern w:val="0"/>
          <w:sz w:val="24"/>
          <w:szCs w:val="24"/>
        </w:rPr>
        <w:t>以</w:t>
      </w:r>
    </w:p>
    <w:p w14:paraId="700F28BE">
      <w:pPr>
        <w:spacing w:line="360" w:lineRule="auto"/>
        <w:rPr>
          <w:rFonts w:hint="eastAsia" w:ascii="宋体" w:hAnsi="宋体" w:eastAsia="宋体"/>
          <w:sz w:val="24"/>
          <w:szCs w:val="24"/>
        </w:rPr>
      </w:pPr>
      <w:r>
        <w:rPr>
          <w:rFonts w:hint="eastAsia" w:ascii="宋体" w:hAnsi="宋体" w:eastAsia="宋体" w:cs="宋体"/>
          <w:kern w:val="0"/>
          <w:sz w:val="24"/>
          <w:szCs w:val="24"/>
        </w:rPr>
        <w:t>后参加考试并在成绩有效期内</w:t>
      </w:r>
      <w:r>
        <w:rPr>
          <w:rFonts w:hint="eastAsia" w:ascii="宋体" w:hAnsi="宋体" w:eastAsia="宋体"/>
          <w:sz w:val="24"/>
          <w:szCs w:val="24"/>
        </w:rPr>
        <w:t>）；</w:t>
      </w:r>
    </w:p>
    <w:p w14:paraId="109AFAC9">
      <w:pPr>
        <w:spacing w:line="360" w:lineRule="auto"/>
        <w:ind w:firstLine="720" w:firstLineChars="300"/>
        <w:rPr>
          <w:rFonts w:hint="eastAsia" w:ascii="宋体" w:hAnsi="宋体" w:eastAsia="宋体"/>
          <w:sz w:val="24"/>
          <w:szCs w:val="24"/>
        </w:rPr>
      </w:pPr>
      <w:r>
        <w:rPr>
          <w:rFonts w:ascii="宋体" w:hAnsi="宋体" w:eastAsia="宋体"/>
          <w:sz w:val="24"/>
          <w:szCs w:val="24"/>
        </w:rPr>
        <w:t>B.</w:t>
      </w:r>
      <w:r>
        <w:rPr>
          <w:rFonts w:hint="eastAsia" w:ascii="宋体" w:hAnsi="宋体" w:eastAsia="宋体"/>
          <w:sz w:val="24"/>
          <w:szCs w:val="24"/>
        </w:rPr>
        <w:t>5年内在该国或地区以对应语言撰写论文并获得学位</w:t>
      </w:r>
      <w:bookmarkStart w:id="3" w:name="_Hlk83310193"/>
      <w:r>
        <w:rPr>
          <w:rFonts w:hint="eastAsia" w:ascii="宋体" w:hAnsi="宋体" w:eastAsia="宋体" w:cs="宋体"/>
          <w:kern w:val="0"/>
          <w:sz w:val="24"/>
          <w:szCs w:val="24"/>
        </w:rPr>
        <w:t>（</w:t>
      </w:r>
      <w:r>
        <w:rPr>
          <w:rFonts w:ascii="宋体" w:hAnsi="宋体" w:eastAsia="宋体" w:cs="宋体"/>
          <w:kern w:val="0"/>
          <w:sz w:val="24"/>
          <w:szCs w:val="24"/>
        </w:rPr>
        <w:t>202</w:t>
      </w:r>
      <w:r>
        <w:rPr>
          <w:rFonts w:hint="eastAsia" w:ascii="宋体" w:hAnsi="宋体" w:eastAsia="宋体" w:cs="宋体"/>
          <w:kern w:val="0"/>
          <w:sz w:val="24"/>
          <w:szCs w:val="24"/>
        </w:rPr>
        <w:t>1</w:t>
      </w:r>
      <w:r>
        <w:rPr>
          <w:rFonts w:ascii="宋体" w:hAnsi="宋体" w:eastAsia="宋体" w:cs="宋体"/>
          <w:kern w:val="0"/>
          <w:sz w:val="24"/>
          <w:szCs w:val="24"/>
        </w:rPr>
        <w:t>年9</w:t>
      </w:r>
      <w:r>
        <w:rPr>
          <w:rFonts w:hint="eastAsia" w:ascii="宋体" w:hAnsi="宋体" w:eastAsia="宋体" w:cs="宋体"/>
          <w:kern w:val="0"/>
          <w:sz w:val="24"/>
          <w:szCs w:val="24"/>
        </w:rPr>
        <w:t>月</w:t>
      </w:r>
      <w:r>
        <w:rPr>
          <w:rFonts w:ascii="宋体" w:hAnsi="宋体" w:eastAsia="宋体" w:cs="宋体"/>
          <w:kern w:val="0"/>
          <w:sz w:val="24"/>
          <w:szCs w:val="24"/>
        </w:rPr>
        <w:t>1日以后获得</w:t>
      </w:r>
      <w:r>
        <w:rPr>
          <w:rFonts w:hint="eastAsia" w:ascii="宋体" w:hAnsi="宋体" w:eastAsia="宋体" w:cs="宋体"/>
          <w:kern w:val="0"/>
          <w:sz w:val="24"/>
          <w:szCs w:val="24"/>
        </w:rPr>
        <w:t>学位</w:t>
      </w:r>
      <w:r>
        <w:rPr>
          <w:rFonts w:ascii="宋体" w:hAnsi="宋体" w:eastAsia="宋体" w:cs="宋体"/>
          <w:kern w:val="0"/>
          <w:sz w:val="24"/>
          <w:szCs w:val="24"/>
        </w:rPr>
        <w:t>）</w:t>
      </w:r>
      <w:bookmarkEnd w:id="3"/>
      <w:r>
        <w:rPr>
          <w:rFonts w:hint="eastAsia" w:ascii="宋体" w:hAnsi="宋体" w:eastAsia="宋体"/>
          <w:sz w:val="24"/>
          <w:szCs w:val="24"/>
        </w:rPr>
        <w:t>，须同时提交学位证书复印件和由教育部留学服务中心出具的认证报告。</w:t>
      </w:r>
    </w:p>
    <w:bookmarkEnd w:id="2"/>
    <w:p w14:paraId="55750D1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以上（包括英语和小语种）成绩须由学院招生工作小组评估和认可。</w:t>
      </w:r>
    </w:p>
    <w:p w14:paraId="4DF3BA6A">
      <w:pPr>
        <w:spacing w:line="360" w:lineRule="auto"/>
        <w:ind w:firstLine="480" w:firstLineChars="200"/>
        <w:rPr>
          <w:rFonts w:hint="eastAsia" w:ascii="宋体" w:hAnsi="宋体" w:eastAsia="宋体"/>
          <w:sz w:val="24"/>
          <w:szCs w:val="24"/>
        </w:rPr>
      </w:pPr>
    </w:p>
    <w:p w14:paraId="45E7B9F5">
      <w:pPr>
        <w:spacing w:line="360" w:lineRule="auto"/>
        <w:ind w:firstLine="480" w:firstLineChars="200"/>
        <w:rPr>
          <w:rFonts w:hint="eastAsia" w:ascii="宋体" w:hAnsi="宋体" w:eastAsia="宋体"/>
          <w:sz w:val="24"/>
          <w:szCs w:val="24"/>
        </w:rPr>
      </w:pPr>
    </w:p>
    <w:p w14:paraId="1A0284DC">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寄送须知：</w:t>
      </w:r>
      <w:r>
        <w:rPr>
          <w:rFonts w:ascii="宋体" w:hAnsi="宋体" w:eastAsia="宋体"/>
          <w:b/>
          <w:sz w:val="24"/>
          <w:szCs w:val="24"/>
        </w:rPr>
        <w:t xml:space="preserve"> </w:t>
      </w:r>
    </w:p>
    <w:p w14:paraId="2A98A852">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sz w:val="24"/>
          <w:szCs w:val="24"/>
        </w:rPr>
        <w:t>申请材料</w:t>
      </w:r>
      <w:r>
        <w:rPr>
          <w:rFonts w:hint="eastAsia" w:ascii="宋体" w:hAnsi="宋体" w:eastAsia="宋体"/>
          <w:sz w:val="24"/>
          <w:szCs w:val="24"/>
        </w:rPr>
        <w:t>共计</w:t>
      </w:r>
      <w:r>
        <w:rPr>
          <w:rFonts w:ascii="宋体" w:hAnsi="宋体" w:eastAsia="宋体"/>
          <w:sz w:val="24"/>
          <w:szCs w:val="24"/>
        </w:rPr>
        <w:t>8</w:t>
      </w:r>
      <w:r>
        <w:rPr>
          <w:rFonts w:hint="eastAsia" w:ascii="宋体" w:hAnsi="宋体" w:eastAsia="宋体"/>
          <w:sz w:val="24"/>
          <w:szCs w:val="24"/>
        </w:rPr>
        <w:t>项，</w:t>
      </w:r>
      <w:r>
        <w:rPr>
          <w:rFonts w:ascii="宋体" w:hAnsi="宋体" w:eastAsia="宋体"/>
          <w:sz w:val="24"/>
          <w:szCs w:val="24"/>
        </w:rPr>
        <w:t>按序号顺序排列</w:t>
      </w:r>
      <w:r>
        <w:rPr>
          <w:rFonts w:hint="eastAsia" w:ascii="宋体" w:hAnsi="宋体" w:eastAsia="宋体"/>
          <w:sz w:val="24"/>
          <w:szCs w:val="24"/>
        </w:rPr>
        <w:t>，</w:t>
      </w:r>
      <w:r>
        <w:rPr>
          <w:rFonts w:ascii="宋体" w:hAnsi="宋体" w:eastAsia="宋体"/>
          <w:sz w:val="24"/>
          <w:szCs w:val="24"/>
        </w:rPr>
        <w:t>用燕尾夹夹好，放入大信封中寄送。</w:t>
      </w:r>
      <w:r>
        <w:rPr>
          <w:rFonts w:hint="eastAsia" w:ascii="宋体" w:hAnsi="宋体" w:eastAsia="宋体"/>
          <w:color w:val="000000" w:themeColor="text1"/>
          <w:sz w:val="24"/>
          <w:szCs w:val="24"/>
          <w14:textFill>
            <w14:solidFill>
              <w14:schemeClr w14:val="tx1"/>
            </w14:solidFill>
          </w14:textFill>
        </w:rPr>
        <w:t>考生如报考我院一个研究方向，请在大信封封面注明：申请人姓名+申请方向+申请人手机号。考生如报考我院的两个研究方向，须寄送两份完整的申请材料，放入一个大信封中即可，请在大信封封面注明：申请人姓名+申请方向1+申请方向2+申请人手机号</w:t>
      </w:r>
      <w:r>
        <w:rPr>
          <w:rFonts w:ascii="宋体" w:hAnsi="宋体" w:eastAsia="宋体"/>
          <w:color w:val="000000" w:themeColor="text1"/>
          <w:sz w:val="24"/>
          <w:szCs w:val="24"/>
          <w14:textFill>
            <w14:solidFill>
              <w14:schemeClr w14:val="tx1"/>
            </w14:solidFill>
          </w14:textFill>
        </w:rPr>
        <w:t>。</w:t>
      </w:r>
    </w:p>
    <w:p w14:paraId="173B8C5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5013B422">
      <w:pPr>
        <w:spacing w:line="360" w:lineRule="auto"/>
        <w:ind w:firstLine="482" w:firstLineChars="200"/>
        <w:rPr>
          <w:rFonts w:hint="eastAsia" w:ascii="宋体" w:hAnsi="宋体" w:eastAsia="宋体"/>
          <w:sz w:val="24"/>
          <w:szCs w:val="24"/>
        </w:rPr>
      </w:pPr>
      <w:r>
        <w:rPr>
          <w:rFonts w:ascii="宋体" w:hAnsi="宋体" w:eastAsia="宋体"/>
          <w:b/>
          <w:bCs/>
          <w:sz w:val="24"/>
          <w:szCs w:val="24"/>
        </w:rPr>
        <w:t>寄送地址：</w:t>
      </w:r>
      <w:r>
        <w:rPr>
          <w:rFonts w:ascii="宋体" w:hAnsi="宋体" w:eastAsia="宋体"/>
          <w:sz w:val="24"/>
          <w:szCs w:val="24"/>
        </w:rPr>
        <w:t>北京市海淀区颐和园路5号北京大学对外汉语教育学院219室，研究生</w:t>
      </w:r>
      <w:r>
        <w:rPr>
          <w:rFonts w:hint="eastAsia" w:ascii="宋体" w:hAnsi="宋体" w:eastAsia="宋体"/>
          <w:sz w:val="24"/>
          <w:szCs w:val="24"/>
        </w:rPr>
        <w:t>事务中心</w:t>
      </w:r>
      <w:r>
        <w:rPr>
          <w:rFonts w:ascii="宋体" w:hAnsi="宋体" w:eastAsia="宋体"/>
          <w:sz w:val="24"/>
          <w:szCs w:val="24"/>
        </w:rPr>
        <w:t>（收）。邮编：100871。电话：010-62753291。</w:t>
      </w:r>
    </w:p>
    <w:p w14:paraId="5816A76F">
      <w:pPr>
        <w:spacing w:line="360" w:lineRule="auto"/>
        <w:ind w:firstLine="480" w:firstLineChars="200"/>
        <w:rPr>
          <w:rFonts w:hint="eastAsia" w:ascii="宋体" w:hAnsi="宋体" w:eastAsia="宋体"/>
          <w:sz w:val="24"/>
          <w:szCs w:val="24"/>
        </w:rPr>
      </w:pPr>
      <w:r>
        <w:rPr>
          <w:rFonts w:ascii="宋体" w:hAnsi="宋体" w:eastAsia="宋体"/>
          <w:sz w:val="24"/>
          <w:szCs w:val="24"/>
        </w:rPr>
        <w:t>请使用</w:t>
      </w:r>
      <w:r>
        <w:rPr>
          <w:rFonts w:hint="eastAsia" w:ascii="宋体" w:hAnsi="宋体" w:eastAsia="宋体"/>
          <w:sz w:val="24"/>
          <w:szCs w:val="24"/>
        </w:rPr>
        <w:t>中国邮政</w:t>
      </w:r>
      <w:r>
        <w:rPr>
          <w:rFonts w:ascii="宋体" w:hAnsi="宋体" w:eastAsia="宋体"/>
          <w:sz w:val="24"/>
          <w:szCs w:val="24"/>
        </w:rPr>
        <w:t>EMS或</w:t>
      </w:r>
      <w:r>
        <w:rPr>
          <w:rFonts w:ascii="宋体" w:hAnsi="宋体" w:eastAsia="宋体"/>
          <w:color w:val="000000" w:themeColor="text1"/>
          <w:sz w:val="24"/>
          <w:szCs w:val="24"/>
          <w14:textFill>
            <w14:solidFill>
              <w14:schemeClr w14:val="tx1"/>
            </w14:solidFill>
          </w14:textFill>
        </w:rPr>
        <w:t>顺丰</w:t>
      </w:r>
      <w:r>
        <w:rPr>
          <w:rFonts w:hint="eastAsia" w:ascii="宋体" w:hAnsi="宋体" w:eastAsia="宋体"/>
          <w:sz w:val="24"/>
          <w:szCs w:val="24"/>
        </w:rPr>
        <w:t>快递（不接受任何形式的同城急送及闪送），</w:t>
      </w:r>
      <w:r>
        <w:rPr>
          <w:rFonts w:ascii="宋体" w:hAnsi="宋体" w:eastAsia="宋体"/>
          <w:sz w:val="24"/>
          <w:szCs w:val="24"/>
        </w:rPr>
        <w:t>快递单上请注明：博士申请材料。</w:t>
      </w:r>
    </w:p>
    <w:p w14:paraId="514E3E9C">
      <w:pPr>
        <w:spacing w:line="360" w:lineRule="auto"/>
        <w:ind w:firstLine="480" w:firstLineChars="200"/>
        <w:rPr>
          <w:rFonts w:hint="eastAsia" w:ascii="宋体" w:hAnsi="宋体" w:eastAsia="宋体"/>
          <w:sz w:val="24"/>
          <w:szCs w:val="24"/>
        </w:rPr>
      </w:pPr>
      <w:r>
        <w:rPr>
          <w:rFonts w:ascii="宋体" w:hAnsi="宋体" w:eastAsia="宋体"/>
          <w:sz w:val="24"/>
          <w:szCs w:val="24"/>
        </w:rPr>
        <w:t>面交材料</w:t>
      </w:r>
      <w:r>
        <w:rPr>
          <w:rFonts w:hint="eastAsia" w:ascii="宋体" w:hAnsi="宋体" w:eastAsia="宋体"/>
          <w:sz w:val="24"/>
          <w:szCs w:val="24"/>
        </w:rPr>
        <w:t>（仅针对北京大学在校学生）</w:t>
      </w:r>
      <w:r>
        <w:rPr>
          <w:rFonts w:ascii="宋体" w:hAnsi="宋体" w:eastAsia="宋体"/>
          <w:sz w:val="24"/>
          <w:szCs w:val="24"/>
        </w:rPr>
        <w:t>时间为每周一至周五（上午8:30-11:00，下午1:30-4:30），地址同上（北大南门内路东第二栋楼）。</w:t>
      </w:r>
    </w:p>
    <w:p w14:paraId="41C4CED3">
      <w:pPr>
        <w:spacing w:line="360" w:lineRule="auto"/>
        <w:ind w:firstLine="480" w:firstLineChars="200"/>
        <w:rPr>
          <w:rFonts w:hint="eastAsia" w:ascii="宋体" w:hAnsi="宋体" w:eastAsia="宋体"/>
          <w:sz w:val="24"/>
          <w:szCs w:val="24"/>
        </w:rPr>
      </w:pPr>
      <w:r>
        <w:rPr>
          <w:rFonts w:ascii="宋体" w:hAnsi="宋体" w:eastAsia="宋体"/>
          <w:sz w:val="24"/>
          <w:szCs w:val="24"/>
        </w:rPr>
        <w:t>所有申请材料</w:t>
      </w:r>
      <w:r>
        <w:rPr>
          <w:rFonts w:hint="eastAsia" w:ascii="宋体" w:hAnsi="宋体" w:eastAsia="宋体"/>
          <w:sz w:val="24"/>
          <w:szCs w:val="24"/>
        </w:rPr>
        <w:t>一经提交不再返还。</w:t>
      </w:r>
    </w:p>
    <w:p w14:paraId="32B66BD9">
      <w:pPr>
        <w:spacing w:before="156" w:beforeLines="50" w:line="360" w:lineRule="auto"/>
        <w:rPr>
          <w:rFonts w:hint="eastAsia" w:ascii="宋体" w:hAnsi="宋体" w:eastAsia="宋体"/>
          <w:b/>
          <w:sz w:val="24"/>
          <w:szCs w:val="24"/>
        </w:rPr>
      </w:pPr>
      <w:r>
        <w:rPr>
          <w:rFonts w:hint="eastAsia" w:ascii="宋体" w:hAnsi="宋体" w:eastAsia="宋体"/>
          <w:b/>
          <w:sz w:val="24"/>
          <w:szCs w:val="24"/>
        </w:rPr>
        <w:t>三、考核与评价</w:t>
      </w:r>
    </w:p>
    <w:p w14:paraId="063528C2">
      <w:pPr>
        <w:spacing w:line="360" w:lineRule="auto"/>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考核与评价分为初审和复试两个阶段，由我院博士研究生招生工作小组负责组织。</w:t>
      </w:r>
    </w:p>
    <w:p w14:paraId="592F6639">
      <w:pPr>
        <w:spacing w:before="156" w:beforeLines="50" w:line="360" w:lineRule="auto"/>
        <w:ind w:firstLine="495"/>
        <w:rPr>
          <w:rFonts w:hint="eastAsia" w:ascii="宋体" w:hAnsi="宋体" w:eastAsia="宋体"/>
          <w:b/>
          <w:sz w:val="24"/>
          <w:szCs w:val="24"/>
        </w:rPr>
      </w:pPr>
      <w:r>
        <w:rPr>
          <w:rFonts w:ascii="宋体" w:hAnsi="宋体" w:eastAsia="宋体"/>
          <w:b/>
          <w:sz w:val="24"/>
          <w:szCs w:val="24"/>
        </w:rPr>
        <w:t xml:space="preserve">1. </w:t>
      </w:r>
      <w:r>
        <w:rPr>
          <w:rFonts w:hint="eastAsia" w:ascii="宋体" w:hAnsi="宋体" w:eastAsia="宋体"/>
          <w:b/>
          <w:sz w:val="24"/>
          <w:szCs w:val="24"/>
        </w:rPr>
        <w:t>初审</w:t>
      </w:r>
    </w:p>
    <w:p w14:paraId="03FC31EC">
      <w:pPr>
        <w:spacing w:line="360" w:lineRule="auto"/>
        <w:ind w:firstLine="480" w:firstLineChars="200"/>
        <w:rPr>
          <w:rFonts w:hint="eastAsia" w:ascii="宋体" w:hAnsi="宋体" w:eastAsia="宋体"/>
          <w:sz w:val="24"/>
          <w:szCs w:val="24"/>
        </w:rPr>
      </w:pPr>
      <w:r>
        <w:rPr>
          <w:rFonts w:hint="eastAsia" w:ascii="宋体" w:hAnsi="宋体" w:eastAsia="宋体" w:cs="宋体"/>
          <w:color w:val="333333"/>
          <w:kern w:val="0"/>
          <w:sz w:val="24"/>
          <w:szCs w:val="24"/>
        </w:rPr>
        <w:t>我院招生工作小组</w:t>
      </w:r>
      <w:r>
        <w:rPr>
          <w:rFonts w:hint="eastAsia" w:ascii="宋体" w:hAnsi="宋体" w:eastAsia="宋体" w:cs="宋体"/>
          <w:kern w:val="0"/>
          <w:sz w:val="24"/>
          <w:szCs w:val="24"/>
        </w:rPr>
        <w:t>和专家组对申请人的申请材料进行初审，</w:t>
      </w:r>
      <w:r>
        <w:rPr>
          <w:rFonts w:hint="eastAsia" w:ascii="宋体" w:hAnsi="宋体" w:eastAsia="宋体" w:cs="宋体"/>
          <w:color w:val="333333"/>
          <w:kern w:val="0"/>
          <w:sz w:val="24"/>
          <w:szCs w:val="24"/>
        </w:rPr>
        <w:t>择优确定进入复试考核阶段的候选人。预计</w:t>
      </w:r>
      <w:r>
        <w:rPr>
          <w:rFonts w:hint="eastAsia" w:ascii="宋体" w:hAnsi="宋体" w:eastAsia="宋体" w:cs="宋体"/>
          <w:color w:val="auto"/>
          <w:kern w:val="0"/>
          <w:sz w:val="24"/>
          <w:szCs w:val="24"/>
          <w:highlight w:val="none"/>
          <w:lang w:val="en-US" w:eastAsia="zh-CN"/>
        </w:rPr>
        <w:t>2026年1月上旬</w:t>
      </w:r>
      <w:r>
        <w:rPr>
          <w:rFonts w:ascii="宋体" w:hAnsi="宋体" w:eastAsia="宋体" w:cs="宋体"/>
          <w:color w:val="333333"/>
          <w:kern w:val="0"/>
          <w:sz w:val="24"/>
          <w:szCs w:val="24"/>
        </w:rPr>
        <w:t>在学院网站公布进入复试人员名单。</w:t>
      </w:r>
    </w:p>
    <w:p w14:paraId="4CF51384">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2</w:t>
      </w:r>
      <w:r>
        <w:rPr>
          <w:rFonts w:ascii="宋体" w:hAnsi="宋体" w:eastAsia="宋体"/>
          <w:b/>
          <w:sz w:val="24"/>
          <w:szCs w:val="24"/>
        </w:rPr>
        <w:t xml:space="preserve">. </w:t>
      </w:r>
      <w:r>
        <w:rPr>
          <w:rFonts w:hint="eastAsia" w:ascii="宋体" w:hAnsi="宋体" w:eastAsia="宋体"/>
          <w:b/>
          <w:sz w:val="24"/>
          <w:szCs w:val="24"/>
        </w:rPr>
        <w:t>复试</w:t>
      </w:r>
    </w:p>
    <w:p w14:paraId="652CABB9">
      <w:pPr>
        <w:widowControl/>
        <w:shd w:val="clear" w:color="auto" w:fill="FFFFFF"/>
        <w:spacing w:line="360" w:lineRule="auto"/>
        <w:ind w:firstLine="48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进入复试后，申请人须提交身份证原件、学历学位证书原件以及外语水平证明原件等材料，</w:t>
      </w:r>
      <w:r>
        <w:rPr>
          <w:rFonts w:hint="eastAsia" w:ascii="宋体" w:hAnsi="宋体" w:eastAsia="宋体" w:cs="宋体"/>
          <w:kern w:val="0"/>
          <w:sz w:val="24"/>
          <w:szCs w:val="24"/>
        </w:rPr>
        <w:t>并按照学院要求进行核查。持国（境）外学历学位证书者，还须同时提交教育部留学服务中心出具的《国（境）外学历学位认证书》原件供核查。如学院对学历学位证书或外语水平证明等材料有疑问，申请人须按照学院要求提交权威机构出具的认证报告</w:t>
      </w:r>
      <w:r>
        <w:rPr>
          <w:rFonts w:hint="eastAsia" w:ascii="宋体" w:hAnsi="宋体" w:eastAsia="宋体" w:cs="宋体"/>
          <w:color w:val="000000"/>
          <w:kern w:val="0"/>
          <w:sz w:val="24"/>
          <w:szCs w:val="24"/>
        </w:rPr>
        <w:t>。</w:t>
      </w:r>
      <w:bookmarkStart w:id="4" w:name="_Hlk143868977"/>
      <w:r>
        <w:rPr>
          <w:rFonts w:hint="eastAsia" w:ascii="宋体" w:hAnsi="宋体" w:eastAsia="宋体" w:cs="宋体"/>
          <w:color w:val="000000"/>
          <w:kern w:val="0"/>
          <w:sz w:val="24"/>
          <w:szCs w:val="24"/>
        </w:rPr>
        <w:t>不符合规定的，不予复试。</w:t>
      </w:r>
      <w:bookmarkEnd w:id="4"/>
    </w:p>
    <w:p w14:paraId="234AD1C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复试为线下面试，满分</w:t>
      </w:r>
      <w:r>
        <w:rPr>
          <w:rFonts w:ascii="宋体" w:hAnsi="宋体" w:eastAsia="宋体"/>
          <w:sz w:val="24"/>
          <w:szCs w:val="24"/>
        </w:rPr>
        <w:t>100分，</w:t>
      </w:r>
      <w:r>
        <w:rPr>
          <w:rFonts w:hint="eastAsia" w:ascii="宋体" w:hAnsi="宋体" w:eastAsia="宋体"/>
          <w:sz w:val="24"/>
          <w:szCs w:val="24"/>
        </w:rPr>
        <w:t>6</w:t>
      </w:r>
      <w:r>
        <w:rPr>
          <w:rFonts w:ascii="宋体" w:hAnsi="宋体" w:eastAsia="宋体"/>
          <w:sz w:val="24"/>
          <w:szCs w:val="24"/>
        </w:rPr>
        <w:t>0分及格</w:t>
      </w:r>
      <w:r>
        <w:rPr>
          <w:rFonts w:hint="eastAsia" w:ascii="宋体" w:hAnsi="宋体" w:eastAsia="宋体"/>
          <w:sz w:val="24"/>
          <w:szCs w:val="24"/>
        </w:rPr>
        <w:t>。</w:t>
      </w:r>
    </w:p>
    <w:p w14:paraId="6D26EBD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复试时间计划在</w:t>
      </w:r>
      <w:r>
        <w:rPr>
          <w:rFonts w:hint="eastAsia" w:ascii="宋体" w:hAnsi="宋体" w:eastAsia="宋体"/>
          <w:color w:val="auto"/>
          <w:sz w:val="24"/>
          <w:szCs w:val="24"/>
          <w:highlight w:val="none"/>
        </w:rPr>
        <w:t>2</w:t>
      </w:r>
      <w:r>
        <w:rPr>
          <w:rFonts w:ascii="宋体" w:hAnsi="宋体" w:eastAsia="宋体"/>
          <w:color w:val="auto"/>
          <w:sz w:val="24"/>
          <w:szCs w:val="24"/>
          <w:highlight w:val="none"/>
        </w:rPr>
        <w:t>02</w:t>
      </w:r>
      <w:r>
        <w:rPr>
          <w:rFonts w:hint="eastAsia" w:ascii="宋体" w:hAnsi="宋体" w:eastAsia="宋体"/>
          <w:color w:val="auto"/>
          <w:sz w:val="24"/>
          <w:szCs w:val="24"/>
          <w:highlight w:val="none"/>
        </w:rPr>
        <w:t>6</w:t>
      </w:r>
      <w:r>
        <w:rPr>
          <w:rFonts w:hint="eastAsia" w:ascii="宋体" w:hAnsi="宋体" w:eastAsia="宋体"/>
          <w:sz w:val="24"/>
          <w:szCs w:val="24"/>
        </w:rPr>
        <w:t>年2</w:t>
      </w:r>
      <w:r>
        <w:rPr>
          <w:rFonts w:ascii="宋体" w:hAnsi="宋体" w:eastAsia="宋体"/>
          <w:sz w:val="24"/>
          <w:szCs w:val="24"/>
        </w:rPr>
        <w:t>月下旬（</w:t>
      </w:r>
      <w:r>
        <w:rPr>
          <w:rFonts w:hint="eastAsia" w:ascii="宋体" w:hAnsi="宋体" w:eastAsia="宋体"/>
          <w:sz w:val="24"/>
          <w:szCs w:val="24"/>
        </w:rPr>
        <w:t>具体时间</w:t>
      </w:r>
      <w:r>
        <w:rPr>
          <w:rFonts w:ascii="宋体" w:hAnsi="宋体" w:eastAsia="宋体"/>
          <w:sz w:val="24"/>
          <w:szCs w:val="24"/>
        </w:rPr>
        <w:t>以学院网站通知为准）。</w:t>
      </w:r>
    </w:p>
    <w:p w14:paraId="201C3866">
      <w:pPr>
        <w:spacing w:line="360" w:lineRule="auto"/>
        <w:ind w:firstLine="480" w:firstLineChars="200"/>
        <w:rPr>
          <w:rFonts w:hint="eastAsia" w:ascii="宋体" w:hAnsi="宋体" w:eastAsia="宋体"/>
          <w:sz w:val="24"/>
          <w:szCs w:val="24"/>
        </w:rPr>
      </w:pPr>
      <w:r>
        <w:rPr>
          <w:rFonts w:ascii="宋体" w:hAnsi="宋体" w:eastAsia="宋体"/>
          <w:sz w:val="24"/>
          <w:szCs w:val="24"/>
        </w:rPr>
        <w:t>面试时间原则上每人不少于30分钟。面试组专家对学生的学科背景、专业知识水平、科研能力及学术潜力、逻辑思维与表达能力、外语口语水平等方面进行考察。申请人向面试组专家作报告，报告内容包括个人科研经历和成果介绍、对拟从事研究领域的认识、本人拟进行的研究工作设想等，并回答面试组专家提出的问题。</w:t>
      </w:r>
    </w:p>
    <w:p w14:paraId="43E5B2F7">
      <w:pPr>
        <w:spacing w:line="360" w:lineRule="auto"/>
        <w:ind w:firstLine="480" w:firstLineChars="200"/>
        <w:rPr>
          <w:rFonts w:hint="eastAsia" w:ascii="宋体" w:hAnsi="宋体" w:eastAsia="宋体"/>
          <w:sz w:val="24"/>
          <w:szCs w:val="24"/>
        </w:rPr>
      </w:pPr>
    </w:p>
    <w:p w14:paraId="18CCE2D0">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3</w:t>
      </w:r>
      <w:r>
        <w:rPr>
          <w:rFonts w:ascii="宋体" w:hAnsi="宋体" w:eastAsia="宋体"/>
          <w:b/>
          <w:sz w:val="24"/>
          <w:szCs w:val="24"/>
        </w:rPr>
        <w:t xml:space="preserve">. </w:t>
      </w:r>
      <w:r>
        <w:rPr>
          <w:rFonts w:hint="eastAsia" w:ascii="宋体" w:hAnsi="宋体" w:eastAsia="宋体"/>
          <w:b/>
          <w:sz w:val="24"/>
          <w:szCs w:val="24"/>
        </w:rPr>
        <w:t>录取</w:t>
      </w:r>
    </w:p>
    <w:p w14:paraId="17BEE2CD">
      <w:pPr>
        <w:spacing w:line="360" w:lineRule="auto"/>
        <w:ind w:firstLine="480" w:firstLineChars="200"/>
        <w:rPr>
          <w:rFonts w:hint="eastAsia" w:ascii="宋体" w:hAnsi="宋体" w:eastAsia="宋体"/>
          <w:sz w:val="24"/>
          <w:szCs w:val="24"/>
        </w:rPr>
      </w:pPr>
      <w:bookmarkStart w:id="5" w:name="_Hlk143869047"/>
      <w:r>
        <w:rPr>
          <w:rFonts w:hint="eastAsia" w:ascii="宋体" w:hAnsi="宋体" w:eastAsia="宋体"/>
          <w:sz w:val="24"/>
          <w:szCs w:val="24"/>
        </w:rPr>
        <w:t>复试总成绩由学术研究计划成绩和面试成绩两部分组成，其中学术研究计划占比</w:t>
      </w:r>
      <w:r>
        <w:rPr>
          <w:rFonts w:ascii="宋体" w:hAnsi="宋体" w:eastAsia="宋体"/>
          <w:sz w:val="24"/>
          <w:szCs w:val="24"/>
        </w:rPr>
        <w:t>10%，面试占比90%。两项考核成绩均以百分制计分，60分及格，两项考核任意一项不及格者不予录取，两项均及格者按总成绩从高分到低分择优录取。</w:t>
      </w:r>
      <w:bookmarkEnd w:id="5"/>
      <w:r>
        <w:rPr>
          <w:rFonts w:hint="eastAsia" w:ascii="宋体" w:hAnsi="宋体" w:eastAsia="宋体"/>
          <w:sz w:val="24"/>
          <w:szCs w:val="24"/>
        </w:rPr>
        <w:t>拟录取名单</w:t>
      </w:r>
      <w:r>
        <w:rPr>
          <w:rFonts w:ascii="宋体" w:hAnsi="宋体" w:eastAsia="宋体"/>
          <w:sz w:val="24"/>
          <w:szCs w:val="24"/>
        </w:rPr>
        <w:t>报经研究生院批准后公示</w:t>
      </w:r>
      <w:r>
        <w:rPr>
          <w:rFonts w:hint="eastAsia" w:ascii="宋体" w:hAnsi="宋体" w:eastAsia="宋体"/>
          <w:sz w:val="24"/>
          <w:szCs w:val="24"/>
          <w:lang w:val="en-US" w:eastAsia="zh-CN"/>
        </w:rPr>
        <w:t>7</w:t>
      </w:r>
      <w:r>
        <w:rPr>
          <w:rFonts w:ascii="宋体" w:hAnsi="宋体" w:eastAsia="宋体"/>
          <w:sz w:val="24"/>
          <w:szCs w:val="24"/>
        </w:rPr>
        <w:t>日。</w:t>
      </w:r>
    </w:p>
    <w:p w14:paraId="7783C678">
      <w:pPr>
        <w:spacing w:before="156" w:beforeLines="50" w:line="360" w:lineRule="auto"/>
        <w:ind w:firstLine="482" w:firstLineChars="200"/>
        <w:rPr>
          <w:rFonts w:hint="eastAsia" w:ascii="宋体" w:hAnsi="宋体" w:eastAsia="宋体"/>
          <w:b/>
          <w:sz w:val="24"/>
          <w:szCs w:val="24"/>
        </w:rPr>
      </w:pPr>
      <w:bookmarkStart w:id="6" w:name="_Hlk211029036"/>
      <w:r>
        <w:rPr>
          <w:rFonts w:hint="eastAsia" w:ascii="宋体" w:hAnsi="宋体" w:eastAsia="宋体"/>
          <w:b/>
          <w:sz w:val="24"/>
          <w:szCs w:val="24"/>
        </w:rPr>
        <w:t>四、招生专业目录</w:t>
      </w:r>
    </w:p>
    <w:p w14:paraId="66FAA1F1">
      <w:pPr>
        <w:ind w:firstLine="482" w:firstLineChars="200"/>
        <w:rPr>
          <w:rFonts w:hint="eastAsia" w:ascii="宋体" w:hAnsi="宋体" w:eastAsia="宋体"/>
          <w:b/>
          <w:sz w:val="24"/>
          <w:szCs w:val="24"/>
        </w:rPr>
      </w:pPr>
    </w:p>
    <w:tbl>
      <w:tblPr>
        <w:tblStyle w:val="7"/>
        <w:tblW w:w="8365" w:type="dxa"/>
        <w:jc w:val="center"/>
        <w:tblLayout w:type="fixed"/>
        <w:tblCellMar>
          <w:top w:w="0" w:type="dxa"/>
          <w:left w:w="0" w:type="dxa"/>
          <w:bottom w:w="0" w:type="dxa"/>
          <w:right w:w="0" w:type="dxa"/>
        </w:tblCellMar>
      </w:tblPr>
      <w:tblGrid>
        <w:gridCol w:w="757"/>
        <w:gridCol w:w="1772"/>
        <w:gridCol w:w="4394"/>
        <w:gridCol w:w="1442"/>
      </w:tblGrid>
      <w:tr w14:paraId="61DB4683">
        <w:tblPrEx>
          <w:tblCellMar>
            <w:top w:w="0" w:type="dxa"/>
            <w:left w:w="0" w:type="dxa"/>
            <w:bottom w:w="0" w:type="dxa"/>
            <w:right w:w="0" w:type="dxa"/>
          </w:tblCellMar>
        </w:tblPrEx>
        <w:trPr>
          <w:trHeight w:val="627" w:hRule="atLeast"/>
          <w:jc w:val="center"/>
        </w:trPr>
        <w:tc>
          <w:tcPr>
            <w:tcW w:w="757" w:type="dxa"/>
            <w:tcBorders>
              <w:top w:val="double" w:color="000000" w:sz="6" w:space="0"/>
              <w:left w:val="double" w:color="000000" w:sz="6" w:space="0"/>
              <w:bottom w:val="single" w:color="000000" w:sz="8" w:space="0"/>
              <w:right w:val="single" w:color="000000" w:sz="8" w:space="0"/>
            </w:tcBorders>
            <w:tcMar>
              <w:left w:w="108" w:type="dxa"/>
              <w:right w:w="108" w:type="dxa"/>
            </w:tcMar>
            <w:vAlign w:val="center"/>
          </w:tcPr>
          <w:p w14:paraId="033A3CDF">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序号</w:t>
            </w:r>
          </w:p>
        </w:tc>
        <w:tc>
          <w:tcPr>
            <w:tcW w:w="1772" w:type="dxa"/>
            <w:tcBorders>
              <w:top w:val="double" w:color="000000" w:sz="6" w:space="0"/>
              <w:left w:val="nil"/>
              <w:bottom w:val="single" w:color="000000" w:sz="8" w:space="0"/>
              <w:right w:val="single" w:color="000000" w:sz="8" w:space="0"/>
            </w:tcBorders>
            <w:tcMar>
              <w:left w:w="108" w:type="dxa"/>
              <w:right w:w="108" w:type="dxa"/>
            </w:tcMar>
            <w:vAlign w:val="center"/>
          </w:tcPr>
          <w:p w14:paraId="6C3DF2BA">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研究方向</w:t>
            </w:r>
          </w:p>
        </w:tc>
        <w:tc>
          <w:tcPr>
            <w:tcW w:w="4394" w:type="dxa"/>
            <w:tcBorders>
              <w:top w:val="double" w:color="000000" w:sz="6" w:space="0"/>
              <w:left w:val="nil"/>
              <w:bottom w:val="single" w:color="000000" w:sz="8" w:space="0"/>
              <w:right w:val="single" w:color="000000" w:sz="8" w:space="0"/>
            </w:tcBorders>
            <w:tcMar>
              <w:left w:w="108" w:type="dxa"/>
              <w:right w:w="108" w:type="dxa"/>
            </w:tcMar>
            <w:vAlign w:val="center"/>
          </w:tcPr>
          <w:p w14:paraId="1F95C0DC">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主要研究内容、特色与意义</w:t>
            </w:r>
          </w:p>
        </w:tc>
        <w:tc>
          <w:tcPr>
            <w:tcW w:w="1442" w:type="dxa"/>
            <w:tcBorders>
              <w:top w:val="double" w:color="000000" w:sz="6" w:space="0"/>
              <w:left w:val="nil"/>
              <w:bottom w:val="single" w:color="000000" w:sz="8" w:space="0"/>
              <w:right w:val="double" w:color="000000" w:sz="6" w:space="0"/>
            </w:tcBorders>
            <w:tcMar>
              <w:left w:w="108" w:type="dxa"/>
              <w:right w:w="108" w:type="dxa"/>
            </w:tcMar>
            <w:vAlign w:val="center"/>
          </w:tcPr>
          <w:p w14:paraId="4F148912">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指导教师</w:t>
            </w:r>
          </w:p>
        </w:tc>
      </w:tr>
      <w:tr w14:paraId="10F59BD0">
        <w:tblPrEx>
          <w:tblCellMar>
            <w:top w:w="0" w:type="dxa"/>
            <w:left w:w="0" w:type="dxa"/>
            <w:bottom w:w="0" w:type="dxa"/>
            <w:right w:w="0" w:type="dxa"/>
          </w:tblCellMar>
        </w:tblPrEx>
        <w:trPr>
          <w:trHeight w:val="627" w:hRule="atLeast"/>
          <w:jc w:val="center"/>
        </w:trPr>
        <w:tc>
          <w:tcPr>
            <w:tcW w:w="757" w:type="dxa"/>
            <w:tcBorders>
              <w:top w:val="double" w:color="000000" w:sz="6" w:space="0"/>
              <w:left w:val="double" w:color="000000" w:sz="6" w:space="0"/>
              <w:bottom w:val="single" w:color="000000" w:sz="8" w:space="0"/>
              <w:right w:val="single" w:color="000000" w:sz="8" w:space="0"/>
            </w:tcBorders>
            <w:tcMar>
              <w:left w:w="108" w:type="dxa"/>
              <w:right w:w="108" w:type="dxa"/>
            </w:tcMar>
            <w:vAlign w:val="center"/>
          </w:tcPr>
          <w:p w14:paraId="61D0517C">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p>
        </w:tc>
        <w:tc>
          <w:tcPr>
            <w:tcW w:w="1772" w:type="dxa"/>
            <w:tcBorders>
              <w:top w:val="double" w:color="000000" w:sz="6" w:space="0"/>
              <w:left w:val="nil"/>
              <w:bottom w:val="single" w:color="000000" w:sz="8" w:space="0"/>
              <w:right w:val="single" w:color="000000" w:sz="8" w:space="0"/>
            </w:tcBorders>
            <w:tcMar>
              <w:left w:w="108" w:type="dxa"/>
              <w:right w:w="108" w:type="dxa"/>
            </w:tcMar>
            <w:vAlign w:val="center"/>
          </w:tcPr>
          <w:p w14:paraId="0FD2E09C">
            <w:pPr>
              <w:widowControl/>
              <w:shd w:val="clear" w:color="auto" w:fill="FFFFFF"/>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汉语第二语言·习得研究</w:t>
            </w:r>
          </w:p>
        </w:tc>
        <w:tc>
          <w:tcPr>
            <w:tcW w:w="4394" w:type="dxa"/>
            <w:tcBorders>
              <w:top w:val="double" w:color="000000" w:sz="6" w:space="0"/>
              <w:left w:val="nil"/>
              <w:bottom w:val="single" w:color="000000" w:sz="8" w:space="0"/>
              <w:right w:val="single" w:color="000000" w:sz="8" w:space="0"/>
            </w:tcBorders>
            <w:tcMar>
              <w:left w:w="108" w:type="dxa"/>
              <w:right w:w="108" w:type="dxa"/>
            </w:tcMar>
            <w:vAlign w:val="center"/>
          </w:tcPr>
          <w:p w14:paraId="27FF7CFE">
            <w:pPr>
              <w:widowControl/>
              <w:shd w:val="clear" w:color="auto" w:fill="FFFFFF"/>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本方向着重研究汉语第二语言习得的具体过程，影响汉语习得的各种因素，以及汉语习得过程中的规律等问题。</w:t>
            </w:r>
          </w:p>
        </w:tc>
        <w:tc>
          <w:tcPr>
            <w:tcW w:w="1442" w:type="dxa"/>
            <w:tcBorders>
              <w:top w:val="double" w:color="000000" w:sz="6" w:space="0"/>
              <w:left w:val="nil"/>
              <w:bottom w:val="single" w:color="000000" w:sz="8" w:space="0"/>
              <w:right w:val="double" w:color="000000" w:sz="6" w:space="0"/>
            </w:tcBorders>
            <w:tcMar>
              <w:left w:w="108" w:type="dxa"/>
              <w:right w:w="108" w:type="dxa"/>
            </w:tcMar>
            <w:vAlign w:val="center"/>
          </w:tcPr>
          <w:p w14:paraId="59A31756">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赵杨</w:t>
            </w:r>
          </w:p>
          <w:p w14:paraId="0F6AD838">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张林军</w:t>
            </w:r>
          </w:p>
        </w:tc>
      </w:tr>
      <w:tr w14:paraId="4900F466">
        <w:tblPrEx>
          <w:tblCellMar>
            <w:top w:w="0" w:type="dxa"/>
            <w:left w:w="0" w:type="dxa"/>
            <w:bottom w:w="0" w:type="dxa"/>
            <w:right w:w="0" w:type="dxa"/>
          </w:tblCellMar>
        </w:tblPrEx>
        <w:trPr>
          <w:jc w:val="center"/>
        </w:trPr>
        <w:tc>
          <w:tcPr>
            <w:tcW w:w="757" w:type="dxa"/>
            <w:tcBorders>
              <w:top w:val="nil"/>
              <w:left w:val="double" w:color="000000" w:sz="6" w:space="0"/>
              <w:bottom w:val="single" w:color="000000" w:sz="8" w:space="0"/>
              <w:right w:val="single" w:color="000000" w:sz="8" w:space="0"/>
            </w:tcBorders>
            <w:tcMar>
              <w:left w:w="108" w:type="dxa"/>
              <w:right w:w="108" w:type="dxa"/>
            </w:tcMar>
            <w:vAlign w:val="center"/>
          </w:tcPr>
          <w:p w14:paraId="342CFAAA">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Cs/>
                <w:color w:val="000000" w:themeColor="text1"/>
                <w:kern w:val="0"/>
                <w:sz w:val="24"/>
                <w:szCs w:val="24"/>
                <w14:textFill>
                  <w14:solidFill>
                    <w14:schemeClr w14:val="tx1"/>
                  </w14:solidFill>
                </w14:textFill>
              </w:rPr>
              <w:t>2</w:t>
            </w:r>
          </w:p>
        </w:tc>
        <w:tc>
          <w:tcPr>
            <w:tcW w:w="1772" w:type="dxa"/>
            <w:tcBorders>
              <w:top w:val="nil"/>
              <w:left w:val="nil"/>
              <w:bottom w:val="single" w:color="000000" w:sz="8" w:space="0"/>
              <w:right w:val="single" w:color="000000" w:sz="8" w:space="0"/>
            </w:tcBorders>
            <w:tcMar>
              <w:left w:w="108" w:type="dxa"/>
              <w:right w:w="108" w:type="dxa"/>
            </w:tcMar>
            <w:vAlign w:val="center"/>
          </w:tcPr>
          <w:p w14:paraId="3C9914E3">
            <w:pPr>
              <w:widowControl/>
              <w:shd w:val="clear" w:color="auto" w:fill="FFFFFF"/>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汉语第二语言·语法研究</w:t>
            </w:r>
          </w:p>
        </w:tc>
        <w:tc>
          <w:tcPr>
            <w:tcW w:w="4394" w:type="dxa"/>
            <w:tcBorders>
              <w:top w:val="nil"/>
              <w:left w:val="nil"/>
              <w:bottom w:val="single" w:color="000000" w:sz="8" w:space="0"/>
              <w:right w:val="single" w:color="000000" w:sz="8" w:space="0"/>
            </w:tcBorders>
            <w:tcMar>
              <w:left w:w="108" w:type="dxa"/>
              <w:right w:w="108" w:type="dxa"/>
            </w:tcMar>
            <w:vAlign w:val="center"/>
          </w:tcPr>
          <w:p w14:paraId="57C32D18">
            <w:pPr>
              <w:widowControl/>
              <w:shd w:val="clear" w:color="auto" w:fill="FFFFFF"/>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本方向着重研究汉语作为第二语言教学中的语法特点、难点和教学重点，以及语法习得问题，探究与语法相关</w:t>
            </w:r>
            <w:r>
              <w:rPr>
                <w:rFonts w:ascii="宋体" w:hAnsi="宋体" w:eastAsia="宋体" w:cs="宋体"/>
                <w:bCs/>
                <w:color w:val="000000" w:themeColor="text1"/>
                <w:kern w:val="0"/>
                <w:sz w:val="24"/>
                <w:szCs w:val="24"/>
                <w14:textFill>
                  <w14:solidFill>
                    <w14:schemeClr w14:val="tx1"/>
                  </w14:solidFill>
                </w14:textFill>
              </w:rPr>
              <w:t>的</w:t>
            </w:r>
            <w:r>
              <w:rPr>
                <w:rFonts w:hint="eastAsia" w:ascii="宋体" w:hAnsi="宋体" w:eastAsia="宋体" w:cs="宋体"/>
                <w:bCs/>
                <w:color w:val="000000" w:themeColor="text1"/>
                <w:kern w:val="0"/>
                <w:sz w:val="24"/>
                <w:szCs w:val="24"/>
                <w14:textFill>
                  <w14:solidFill>
                    <w14:schemeClr w14:val="tx1"/>
                  </w14:solidFill>
                </w14:textFill>
              </w:rPr>
              <w:t>教学体系以及原则、模式和方法等。</w:t>
            </w:r>
          </w:p>
        </w:tc>
        <w:tc>
          <w:tcPr>
            <w:tcW w:w="1442" w:type="dxa"/>
            <w:tcBorders>
              <w:top w:val="nil"/>
              <w:left w:val="nil"/>
              <w:bottom w:val="single" w:color="000000" w:sz="8" w:space="0"/>
              <w:right w:val="double" w:color="000000" w:sz="6" w:space="0"/>
            </w:tcBorders>
            <w:tcMar>
              <w:left w:w="108" w:type="dxa"/>
              <w:right w:w="108" w:type="dxa"/>
            </w:tcMar>
            <w:vAlign w:val="center"/>
          </w:tcPr>
          <w:p w14:paraId="6C3DB8D4">
            <w:pPr>
              <w:widowControl/>
              <w:shd w:val="clear" w:color="auto" w:fill="FFFFFF"/>
              <w:spacing w:line="360" w:lineRule="auto"/>
              <w:ind w:firstLine="240" w:firstLineChars="1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徐晶凝</w:t>
            </w:r>
          </w:p>
          <w:p w14:paraId="04B8963A">
            <w:pPr>
              <w:widowControl/>
              <w:shd w:val="clear" w:color="auto" w:fill="FFFFFF"/>
              <w:spacing w:line="360" w:lineRule="auto"/>
              <w:ind w:firstLine="240" w:firstLineChars="1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汲传波</w:t>
            </w:r>
          </w:p>
          <w:p w14:paraId="742BA25E">
            <w:pPr>
              <w:widowControl/>
              <w:shd w:val="clear" w:color="auto" w:fill="FFFFFF"/>
              <w:spacing w:line="360" w:lineRule="auto"/>
              <w:ind w:firstLine="240" w:firstLineChars="1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张文贤</w:t>
            </w:r>
          </w:p>
        </w:tc>
      </w:tr>
      <w:tr w14:paraId="472969E4">
        <w:tblPrEx>
          <w:tblCellMar>
            <w:top w:w="0" w:type="dxa"/>
            <w:left w:w="0" w:type="dxa"/>
            <w:bottom w:w="0" w:type="dxa"/>
            <w:right w:w="0" w:type="dxa"/>
          </w:tblCellMar>
        </w:tblPrEx>
        <w:trPr>
          <w:jc w:val="center"/>
        </w:trPr>
        <w:tc>
          <w:tcPr>
            <w:tcW w:w="757" w:type="dxa"/>
            <w:tcBorders>
              <w:top w:val="nil"/>
              <w:left w:val="double" w:color="000000" w:sz="6" w:space="0"/>
              <w:bottom w:val="single" w:color="000000" w:sz="8" w:space="0"/>
              <w:right w:val="single" w:color="000000" w:sz="8" w:space="0"/>
            </w:tcBorders>
            <w:tcMar>
              <w:left w:w="108" w:type="dxa"/>
              <w:right w:w="108" w:type="dxa"/>
            </w:tcMar>
            <w:vAlign w:val="center"/>
          </w:tcPr>
          <w:p w14:paraId="65A2C25B">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w:t>
            </w:r>
          </w:p>
        </w:tc>
        <w:tc>
          <w:tcPr>
            <w:tcW w:w="1772" w:type="dxa"/>
            <w:tcBorders>
              <w:top w:val="nil"/>
              <w:left w:val="nil"/>
              <w:bottom w:val="single" w:color="000000" w:sz="8" w:space="0"/>
              <w:right w:val="single" w:color="000000" w:sz="8" w:space="0"/>
            </w:tcBorders>
            <w:tcMar>
              <w:left w:w="108" w:type="dxa"/>
              <w:right w:w="108" w:type="dxa"/>
            </w:tcMar>
            <w:vAlign w:val="center"/>
          </w:tcPr>
          <w:p w14:paraId="30070715">
            <w:pPr>
              <w:widowControl/>
              <w:shd w:val="clear" w:color="auto" w:fill="FFFFFF"/>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汉语第二语言·语音研究</w:t>
            </w:r>
          </w:p>
        </w:tc>
        <w:tc>
          <w:tcPr>
            <w:tcW w:w="4394" w:type="dxa"/>
            <w:tcBorders>
              <w:top w:val="nil"/>
              <w:left w:val="nil"/>
              <w:bottom w:val="single" w:color="000000" w:sz="8" w:space="0"/>
              <w:right w:val="single" w:color="000000" w:sz="8" w:space="0"/>
            </w:tcBorders>
            <w:tcMar>
              <w:left w:w="108" w:type="dxa"/>
              <w:right w:w="108" w:type="dxa"/>
            </w:tcMar>
            <w:vAlign w:val="center"/>
          </w:tcPr>
          <w:p w14:paraId="18A78B4B">
            <w:pPr>
              <w:widowControl/>
              <w:shd w:val="clear" w:color="auto" w:fill="FFFFFF"/>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本方向着重研究汉语作为第二语言教学中出现的语音现象的特点、规律以及语音习得和语音教学等相关问题。</w:t>
            </w:r>
          </w:p>
        </w:tc>
        <w:tc>
          <w:tcPr>
            <w:tcW w:w="1442" w:type="dxa"/>
            <w:tcBorders>
              <w:top w:val="nil"/>
              <w:left w:val="nil"/>
              <w:bottom w:val="single" w:color="000000" w:sz="8" w:space="0"/>
              <w:right w:val="double" w:color="000000" w:sz="6" w:space="0"/>
            </w:tcBorders>
            <w:tcMar>
              <w:left w:w="108" w:type="dxa"/>
              <w:right w:w="108" w:type="dxa"/>
            </w:tcMar>
            <w:vAlign w:val="center"/>
          </w:tcPr>
          <w:p w14:paraId="6E978DD7">
            <w:pPr>
              <w:widowControl/>
              <w:shd w:val="clear" w:color="auto" w:fill="FFFFFF"/>
              <w:spacing w:line="360" w:lineRule="auto"/>
              <w:ind w:firstLine="240" w:firstLineChars="1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邓丹</w:t>
            </w:r>
          </w:p>
        </w:tc>
      </w:tr>
      <w:tr w14:paraId="58B39D61">
        <w:tblPrEx>
          <w:tblCellMar>
            <w:top w:w="0" w:type="dxa"/>
            <w:left w:w="0" w:type="dxa"/>
            <w:bottom w:w="0" w:type="dxa"/>
            <w:right w:w="0" w:type="dxa"/>
          </w:tblCellMar>
        </w:tblPrEx>
        <w:trPr>
          <w:jc w:val="center"/>
        </w:trPr>
        <w:tc>
          <w:tcPr>
            <w:tcW w:w="757" w:type="dxa"/>
            <w:tcBorders>
              <w:top w:val="single" w:color="auto" w:sz="4" w:space="0"/>
              <w:left w:val="double" w:color="000000" w:sz="6" w:space="0"/>
              <w:bottom w:val="single" w:color="auto" w:sz="4" w:space="0"/>
              <w:right w:val="single" w:color="000000" w:sz="8" w:space="0"/>
            </w:tcBorders>
            <w:tcMar>
              <w:left w:w="108" w:type="dxa"/>
              <w:right w:w="108" w:type="dxa"/>
            </w:tcMar>
            <w:vAlign w:val="center"/>
          </w:tcPr>
          <w:p w14:paraId="0ADD5E7E">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kern w:val="0"/>
                <w:sz w:val="24"/>
                <w:szCs w:val="24"/>
              </w:rPr>
              <w:t>4</w:t>
            </w:r>
          </w:p>
        </w:tc>
        <w:tc>
          <w:tcPr>
            <w:tcW w:w="1772" w:type="dxa"/>
            <w:tcBorders>
              <w:top w:val="single" w:color="auto" w:sz="4" w:space="0"/>
              <w:left w:val="nil"/>
              <w:bottom w:val="single" w:color="auto" w:sz="4" w:space="0"/>
              <w:right w:val="single" w:color="000000" w:sz="8" w:space="0"/>
            </w:tcBorders>
            <w:tcMar>
              <w:left w:w="108" w:type="dxa"/>
              <w:right w:w="108" w:type="dxa"/>
            </w:tcMar>
            <w:vAlign w:val="center"/>
          </w:tcPr>
          <w:p w14:paraId="697EBEC5">
            <w:pPr>
              <w:widowControl/>
              <w:shd w:val="clear" w:color="auto" w:fill="FFFFFF"/>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汉语第二语言·教师研究</w:t>
            </w:r>
          </w:p>
        </w:tc>
        <w:tc>
          <w:tcPr>
            <w:tcW w:w="4394" w:type="dxa"/>
            <w:tcBorders>
              <w:top w:val="single" w:color="auto" w:sz="4" w:space="0"/>
              <w:left w:val="nil"/>
              <w:bottom w:val="single" w:color="auto" w:sz="4" w:space="0"/>
              <w:right w:val="single" w:color="000000" w:sz="8" w:space="0"/>
            </w:tcBorders>
            <w:tcMar>
              <w:left w:w="108" w:type="dxa"/>
              <w:right w:w="108" w:type="dxa"/>
            </w:tcMar>
            <w:vAlign w:val="center"/>
          </w:tcPr>
          <w:p w14:paraId="3E6971D8">
            <w:pPr>
              <w:widowControl/>
              <w:shd w:val="clear" w:color="auto" w:fill="FFFFFF"/>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本方向研究汉语第二语言教师教育与发展理论、规律和影响因素，并探讨汉语第二语言教师教育与发展理念和模式构建等问题。</w:t>
            </w:r>
          </w:p>
        </w:tc>
        <w:tc>
          <w:tcPr>
            <w:tcW w:w="1442" w:type="dxa"/>
            <w:tcBorders>
              <w:top w:val="single" w:color="auto" w:sz="4" w:space="0"/>
              <w:left w:val="nil"/>
              <w:bottom w:val="single" w:color="auto" w:sz="4" w:space="0"/>
              <w:right w:val="double" w:color="000000" w:sz="6" w:space="0"/>
            </w:tcBorders>
            <w:tcMar>
              <w:left w:w="108" w:type="dxa"/>
              <w:right w:w="108" w:type="dxa"/>
            </w:tcMar>
            <w:vAlign w:val="center"/>
          </w:tcPr>
          <w:p w14:paraId="6E4142FC">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王添淼</w:t>
            </w:r>
          </w:p>
        </w:tc>
      </w:tr>
    </w:tbl>
    <w:p w14:paraId="5DFC096D">
      <w:pPr>
        <w:spacing w:before="156" w:beforeLines="50" w:line="360" w:lineRule="auto"/>
        <w:rPr>
          <w:rFonts w:hint="eastAsia" w:ascii="宋体" w:hAnsi="宋体" w:eastAsia="宋体"/>
          <w:b/>
          <w:sz w:val="24"/>
          <w:szCs w:val="24"/>
        </w:rPr>
      </w:pPr>
    </w:p>
    <w:bookmarkEnd w:id="6"/>
    <w:p w14:paraId="1DEFFFFF">
      <w:pPr>
        <w:spacing w:before="156" w:beforeLines="50" w:line="360" w:lineRule="auto"/>
        <w:rPr>
          <w:rFonts w:hint="eastAsia" w:ascii="宋体" w:hAnsi="宋体" w:eastAsia="宋体"/>
          <w:b/>
          <w:sz w:val="24"/>
          <w:szCs w:val="24"/>
        </w:rPr>
      </w:pPr>
      <w:r>
        <w:rPr>
          <w:rFonts w:hint="eastAsia" w:ascii="宋体" w:hAnsi="宋体" w:eastAsia="宋体"/>
          <w:b/>
          <w:sz w:val="24"/>
          <w:szCs w:val="24"/>
        </w:rPr>
        <w:t>五、考核范围说明</w:t>
      </w:r>
    </w:p>
    <w:p w14:paraId="1B3C9E3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考生应具备扎实的第二语言教学学科理论基础。其中：</w:t>
      </w:r>
    </w:p>
    <w:p w14:paraId="5EC0B224">
      <w:pPr>
        <w:spacing w:line="360" w:lineRule="auto"/>
        <w:ind w:firstLine="482" w:firstLineChars="200"/>
        <w:rPr>
          <w:rFonts w:hint="eastAsia" w:ascii="宋体" w:hAnsi="宋体" w:eastAsia="宋体"/>
          <w:sz w:val="24"/>
          <w:szCs w:val="24"/>
        </w:rPr>
      </w:pPr>
      <w:r>
        <w:rPr>
          <w:rFonts w:hint="eastAsia" w:ascii="宋体" w:hAnsi="宋体" w:eastAsia="宋体"/>
          <w:b/>
          <w:sz w:val="24"/>
          <w:szCs w:val="24"/>
        </w:rPr>
        <w:t>汉语作为第二语言·习得研究：</w:t>
      </w:r>
      <w:r>
        <w:rPr>
          <w:rFonts w:hint="eastAsia" w:ascii="宋体" w:hAnsi="宋体" w:eastAsia="宋体"/>
          <w:sz w:val="24"/>
          <w:szCs w:val="24"/>
        </w:rPr>
        <w:t>重点考察第二语言习得理论、习得过程、影响习得过程的因素等领域的理论知识和分析能力；</w:t>
      </w:r>
    </w:p>
    <w:p w14:paraId="217F0A7D">
      <w:pPr>
        <w:spacing w:line="360" w:lineRule="auto"/>
        <w:ind w:firstLine="482" w:firstLineChars="200"/>
        <w:rPr>
          <w:rFonts w:hint="eastAsia" w:ascii="宋体" w:hAnsi="宋体" w:eastAsia="宋体"/>
          <w:sz w:val="24"/>
          <w:szCs w:val="24"/>
        </w:rPr>
      </w:pPr>
      <w:r>
        <w:rPr>
          <w:rFonts w:hint="eastAsia" w:ascii="宋体" w:hAnsi="宋体" w:eastAsia="宋体"/>
          <w:b/>
          <w:sz w:val="24"/>
          <w:szCs w:val="24"/>
        </w:rPr>
        <w:t>汉语作为第二语言·语法</w:t>
      </w:r>
      <w:r>
        <w:rPr>
          <w:rFonts w:ascii="宋体" w:hAnsi="宋体" w:eastAsia="宋体"/>
          <w:b/>
          <w:sz w:val="24"/>
          <w:szCs w:val="24"/>
        </w:rPr>
        <w:t>研究</w:t>
      </w:r>
      <w:r>
        <w:rPr>
          <w:rFonts w:hint="eastAsia" w:ascii="宋体" w:hAnsi="宋体" w:eastAsia="宋体"/>
          <w:b/>
          <w:sz w:val="24"/>
          <w:szCs w:val="24"/>
        </w:rPr>
        <w:t>：</w:t>
      </w:r>
      <w:r>
        <w:rPr>
          <w:rFonts w:hint="eastAsia" w:ascii="宋体" w:hAnsi="宋体" w:eastAsia="宋体"/>
          <w:sz w:val="24"/>
          <w:szCs w:val="24"/>
        </w:rPr>
        <w:t>重点考察语言学理论、汉语语法、语法习得、汉外语法对比及语法教学等领域的理论知识和分析能力；</w:t>
      </w:r>
    </w:p>
    <w:p w14:paraId="21C2171B">
      <w:pPr>
        <w:spacing w:line="360" w:lineRule="auto"/>
        <w:ind w:firstLine="482" w:firstLineChars="200"/>
        <w:jc w:val="left"/>
        <w:rPr>
          <w:rFonts w:hint="eastAsia" w:ascii="宋体" w:hAnsi="宋体" w:eastAsia="宋体"/>
          <w:sz w:val="24"/>
          <w:szCs w:val="24"/>
        </w:rPr>
      </w:pPr>
      <w:r>
        <w:rPr>
          <w:rFonts w:hint="eastAsia" w:ascii="宋体" w:hAnsi="宋体" w:eastAsia="宋体"/>
          <w:b/>
          <w:sz w:val="24"/>
          <w:szCs w:val="24"/>
        </w:rPr>
        <w:t>汉语作为第二语言·语音研究：</w:t>
      </w:r>
      <w:r>
        <w:rPr>
          <w:rFonts w:hint="eastAsia" w:ascii="宋体" w:hAnsi="宋体" w:eastAsia="宋体"/>
          <w:sz w:val="24"/>
          <w:szCs w:val="24"/>
        </w:rPr>
        <w:t>重点考察语言学理论、习得理论、汉语语音、语音习得、汉外语音对比及语音教学等领域的理论知识和分析能力；</w:t>
      </w:r>
    </w:p>
    <w:p w14:paraId="5E97935D">
      <w:pPr>
        <w:spacing w:line="360" w:lineRule="auto"/>
        <w:ind w:firstLine="482" w:firstLineChars="200"/>
        <w:jc w:val="left"/>
        <w:rPr>
          <w:rFonts w:hint="eastAsia" w:ascii="宋体" w:hAnsi="宋体" w:eastAsia="宋体" w:cs="宋体"/>
          <w:color w:val="C00000"/>
          <w:kern w:val="0"/>
          <w:sz w:val="24"/>
          <w:szCs w:val="24"/>
        </w:rPr>
      </w:pPr>
      <w:r>
        <w:rPr>
          <w:rFonts w:hint="eastAsia" w:ascii="宋体" w:hAnsi="宋体" w:eastAsia="宋体"/>
          <w:b/>
          <w:sz w:val="24"/>
          <w:szCs w:val="24"/>
        </w:rPr>
        <w:t>汉语作为第二语言·教师研究：</w:t>
      </w:r>
      <w:r>
        <w:rPr>
          <w:rFonts w:hint="eastAsia" w:ascii="宋体" w:hAnsi="宋体" w:eastAsia="宋体"/>
          <w:sz w:val="24"/>
          <w:szCs w:val="24"/>
        </w:rPr>
        <w:t>重点考察</w:t>
      </w:r>
      <w:r>
        <w:rPr>
          <w:rFonts w:ascii="宋体" w:hAnsi="宋体" w:eastAsia="宋体"/>
          <w:sz w:val="24"/>
          <w:szCs w:val="24"/>
        </w:rPr>
        <w:t>第二语言教师教育与发展理论、过程和影响因素等</w:t>
      </w:r>
      <w:r>
        <w:rPr>
          <w:rFonts w:hint="eastAsia" w:ascii="宋体" w:hAnsi="宋体" w:eastAsia="宋体"/>
          <w:sz w:val="24"/>
          <w:szCs w:val="24"/>
        </w:rPr>
        <w:t>，</w:t>
      </w:r>
      <w:r>
        <w:rPr>
          <w:rFonts w:ascii="宋体" w:hAnsi="宋体" w:eastAsia="宋体"/>
          <w:sz w:val="24"/>
          <w:szCs w:val="24"/>
        </w:rPr>
        <w:t>包括</w:t>
      </w:r>
      <w:r>
        <w:rPr>
          <w:rFonts w:hint="eastAsia" w:ascii="宋体" w:hAnsi="宋体" w:eastAsia="宋体"/>
          <w:sz w:val="24"/>
          <w:szCs w:val="24"/>
        </w:rPr>
        <w:t>教师</w:t>
      </w:r>
      <w:r>
        <w:rPr>
          <w:rFonts w:ascii="宋体" w:hAnsi="宋体" w:eastAsia="宋体"/>
          <w:sz w:val="24"/>
          <w:szCs w:val="24"/>
        </w:rPr>
        <w:t>知识、教师发展阶段、教师专长、</w:t>
      </w:r>
      <w:r>
        <w:rPr>
          <w:rFonts w:hint="eastAsia" w:ascii="宋体" w:hAnsi="宋体" w:eastAsia="宋体"/>
          <w:sz w:val="24"/>
          <w:szCs w:val="24"/>
        </w:rPr>
        <w:t>教师</w:t>
      </w:r>
      <w:r>
        <w:rPr>
          <w:rFonts w:ascii="宋体" w:hAnsi="宋体" w:eastAsia="宋体"/>
          <w:sz w:val="24"/>
          <w:szCs w:val="24"/>
        </w:rPr>
        <w:t>反思、教师情感</w:t>
      </w:r>
      <w:r>
        <w:rPr>
          <w:rFonts w:hint="eastAsia" w:ascii="宋体" w:hAnsi="宋体" w:eastAsia="宋体"/>
          <w:sz w:val="24"/>
          <w:szCs w:val="24"/>
        </w:rPr>
        <w:t>、</w:t>
      </w:r>
      <w:r>
        <w:rPr>
          <w:rFonts w:ascii="宋体" w:hAnsi="宋体" w:eastAsia="宋体"/>
          <w:sz w:val="24"/>
          <w:szCs w:val="24"/>
        </w:rPr>
        <w:t>教师实践性知识</w:t>
      </w:r>
      <w:r>
        <w:rPr>
          <w:rFonts w:hint="eastAsia" w:ascii="宋体" w:hAnsi="宋体" w:eastAsia="宋体"/>
          <w:sz w:val="24"/>
          <w:szCs w:val="24"/>
        </w:rPr>
        <w:t>等</w:t>
      </w:r>
      <w:r>
        <w:rPr>
          <w:rFonts w:ascii="宋体" w:hAnsi="宋体" w:eastAsia="宋体"/>
          <w:sz w:val="24"/>
          <w:szCs w:val="24"/>
        </w:rPr>
        <w:t>领域的理论知识和</w:t>
      </w:r>
      <w:r>
        <w:rPr>
          <w:rFonts w:hint="eastAsia" w:ascii="宋体" w:hAnsi="宋体" w:eastAsia="宋体"/>
          <w:sz w:val="24"/>
          <w:szCs w:val="24"/>
        </w:rPr>
        <w:t>研究</w:t>
      </w:r>
      <w:r>
        <w:rPr>
          <w:rFonts w:ascii="宋体" w:hAnsi="宋体" w:eastAsia="宋体"/>
          <w:sz w:val="24"/>
          <w:szCs w:val="24"/>
        </w:rPr>
        <w:t>能</w:t>
      </w:r>
      <w:r>
        <w:rPr>
          <w:rFonts w:hint="eastAsia" w:ascii="宋体" w:hAnsi="宋体" w:eastAsia="宋体"/>
          <w:sz w:val="24"/>
          <w:szCs w:val="24"/>
        </w:rPr>
        <w:t>力</w:t>
      </w:r>
      <w:r>
        <w:rPr>
          <w:rFonts w:ascii="宋体" w:hAnsi="宋体" w:eastAsia="宋体"/>
          <w:sz w:val="24"/>
          <w:szCs w:val="24"/>
        </w:rPr>
        <w:t>。</w:t>
      </w:r>
    </w:p>
    <w:p w14:paraId="51164666">
      <w:pPr>
        <w:spacing w:line="360" w:lineRule="auto"/>
        <w:ind w:firstLine="482" w:firstLineChars="200"/>
        <w:rPr>
          <w:rFonts w:hint="eastAsia" w:ascii="宋体" w:hAnsi="宋体" w:eastAsia="宋体"/>
          <w:b/>
          <w:sz w:val="24"/>
          <w:szCs w:val="24"/>
        </w:rPr>
      </w:pPr>
    </w:p>
    <w:p w14:paraId="0AF6BDFD">
      <w:pPr>
        <w:widowControl/>
        <w:shd w:val="clear" w:color="auto" w:fill="FFFFFF"/>
        <w:spacing w:before="156" w:beforeLines="50" w:line="360" w:lineRule="auto"/>
        <w:ind w:firstLine="482" w:firstLineChars="200"/>
        <w:jc w:val="left"/>
        <w:textAlignment w:val="center"/>
        <w:rPr>
          <w:rFonts w:hint="eastAsia" w:ascii="宋体" w:hAnsi="宋体" w:eastAsia="宋体" w:cs="宋体"/>
          <w:b/>
          <w:bCs/>
          <w:color w:val="333333"/>
          <w:kern w:val="0"/>
          <w:sz w:val="24"/>
          <w:szCs w:val="24"/>
        </w:rPr>
      </w:pPr>
      <w:r>
        <w:rPr>
          <w:rFonts w:hint="eastAsia" w:ascii="宋体" w:hAnsi="宋体" w:eastAsia="宋体"/>
          <w:b/>
          <w:sz w:val="24"/>
          <w:szCs w:val="24"/>
        </w:rPr>
        <w:t>六、</w:t>
      </w:r>
      <w:r>
        <w:rPr>
          <w:rFonts w:hint="eastAsia" w:ascii="宋体" w:hAnsi="宋体" w:eastAsia="宋体" w:cs="宋体"/>
          <w:b/>
          <w:bCs/>
          <w:color w:val="333333"/>
          <w:kern w:val="0"/>
          <w:sz w:val="24"/>
          <w:szCs w:val="24"/>
        </w:rPr>
        <w:t>违规处理</w:t>
      </w:r>
    </w:p>
    <w:p w14:paraId="6F654059">
      <w:pPr>
        <w:widowControl/>
        <w:shd w:val="clear" w:color="auto" w:fill="FFFFFF"/>
        <w:spacing w:before="156" w:beforeLines="50" w:line="360" w:lineRule="auto"/>
        <w:ind w:firstLine="480" w:firstLineChars="200"/>
        <w:jc w:val="left"/>
        <w:textAlignment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1．申请人须承诺学历学位证书、个人信息、其它报考信息以及提交资料等的真实性。凡存在学术不端行为、专业伦理、诚实守信等方面问题者，</w:t>
      </w:r>
      <w:r>
        <w:rPr>
          <w:rFonts w:hint="eastAsia" w:ascii="宋体" w:hAnsi="宋体" w:eastAsia="宋体" w:cs="宋体"/>
          <w:color w:val="333333"/>
          <w:kern w:val="0"/>
          <w:sz w:val="24"/>
          <w:szCs w:val="24"/>
        </w:rPr>
        <w:t>不论何时，一经查实，取消报考（申请）、录取等资格。</w:t>
      </w:r>
    </w:p>
    <w:p w14:paraId="0B873574">
      <w:pPr>
        <w:widowControl/>
        <w:shd w:val="clear" w:color="auto" w:fill="FFFFFF"/>
        <w:spacing w:before="156" w:beforeLines="50" w:line="360" w:lineRule="auto"/>
        <w:ind w:firstLine="480" w:firstLineChars="200"/>
        <w:jc w:val="left"/>
        <w:textAlignment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2．考生应自觉树立遵章守纪、诚实考试的意识。复试期间，考生应自觉遵守我校考场规则及考生所签署的《诚信复试承诺书》等内容，在复试工作结束</w:t>
      </w:r>
      <w:r>
        <w:rPr>
          <w:rFonts w:hint="eastAsia" w:ascii="宋体" w:hAnsi="宋体" w:eastAsia="宋体" w:cs="宋体"/>
          <w:color w:val="333333"/>
          <w:kern w:val="0"/>
          <w:sz w:val="24"/>
          <w:szCs w:val="24"/>
        </w:rPr>
        <w:t>前不得对外透露或传播复试试题内容等有关情况。对在研究生考试招生中违反考试管理规定和考场纪律，影响考试公平、公正的考生、考试工作人员及其他相关人员，一律按《中华人民共和国教育法》及《国家教育考试违规处理办法》（教育部令第</w:t>
      </w:r>
      <w:r>
        <w:rPr>
          <w:rFonts w:ascii="宋体" w:hAnsi="宋体" w:eastAsia="宋体" w:cs="宋体"/>
          <w:color w:val="333333"/>
          <w:kern w:val="0"/>
          <w:sz w:val="24"/>
          <w:szCs w:val="24"/>
        </w:rPr>
        <w:t>33号）严肃处理。构成违法的，由司法机关依法追究法律责</w:t>
      </w:r>
      <w:r>
        <w:rPr>
          <w:rFonts w:hint="eastAsia" w:ascii="宋体" w:hAnsi="宋体" w:eastAsia="宋体" w:cs="宋体"/>
          <w:color w:val="333333"/>
          <w:kern w:val="0"/>
          <w:sz w:val="24"/>
          <w:szCs w:val="24"/>
        </w:rPr>
        <w:t>任，其中构成犯罪的，依法追究刑事责任。</w:t>
      </w:r>
    </w:p>
    <w:p w14:paraId="795A7AAF">
      <w:pPr>
        <w:widowControl/>
        <w:shd w:val="clear" w:color="auto" w:fill="FFFFFF"/>
        <w:spacing w:before="156" w:beforeLines="50" w:line="360" w:lineRule="auto"/>
        <w:ind w:firstLine="480" w:firstLineChars="200"/>
        <w:jc w:val="left"/>
        <w:textAlignment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3．我</w:t>
      </w:r>
      <w:r>
        <w:rPr>
          <w:rFonts w:hint="eastAsia" w:ascii="宋体" w:hAnsi="宋体" w:eastAsia="宋体" w:cs="宋体"/>
          <w:color w:val="333333"/>
          <w:kern w:val="0"/>
          <w:sz w:val="24"/>
          <w:szCs w:val="24"/>
        </w:rPr>
        <w:t>院</w:t>
      </w:r>
      <w:r>
        <w:rPr>
          <w:rFonts w:ascii="宋体" w:hAnsi="宋体" w:eastAsia="宋体" w:cs="宋体"/>
          <w:color w:val="333333"/>
          <w:kern w:val="0"/>
          <w:sz w:val="24"/>
          <w:szCs w:val="24"/>
        </w:rPr>
        <w:t>工作人员发现有考生伪造证件时，将立即向公安机关报案。</w:t>
      </w:r>
    </w:p>
    <w:p w14:paraId="32995040">
      <w:pPr>
        <w:widowControl/>
        <w:shd w:val="clear" w:color="auto" w:fill="FFFFFF"/>
        <w:spacing w:before="156" w:beforeLines="50" w:line="360" w:lineRule="auto"/>
        <w:ind w:firstLine="480" w:firstLineChars="200"/>
        <w:jc w:val="left"/>
        <w:textAlignment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4.严禁学校内部任何部门和工作人员举办或参与举办考试招生辅导活动，在校生不得举办或参与助考作弊、虚假宣传等涉考违规违法活动。招生有关人</w:t>
      </w:r>
      <w:r>
        <w:rPr>
          <w:rFonts w:hint="eastAsia" w:ascii="宋体" w:hAnsi="宋体" w:eastAsia="宋体" w:cs="宋体"/>
          <w:color w:val="333333"/>
          <w:kern w:val="0"/>
          <w:sz w:val="24"/>
          <w:szCs w:val="24"/>
        </w:rPr>
        <w:t>员，如有直系亲属或者利害关系人报考当年博士研究生的，应当回避相应的招生工作。违反规定的，将追究有关部门和相关人员责任。</w:t>
      </w:r>
    </w:p>
    <w:p w14:paraId="0F569A6E">
      <w:pPr>
        <w:widowControl/>
        <w:shd w:val="clear" w:color="auto" w:fill="FFFFFF"/>
        <w:spacing w:before="156" w:beforeLines="50" w:line="360" w:lineRule="auto"/>
        <w:ind w:firstLine="482" w:firstLineChars="200"/>
        <w:jc w:val="left"/>
        <w:textAlignment w:val="center"/>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七、信息公开与监督</w:t>
      </w:r>
    </w:p>
    <w:p w14:paraId="1F35DCD1">
      <w:pPr>
        <w:widowControl/>
        <w:shd w:val="clear" w:color="auto" w:fill="FFFFFF"/>
        <w:spacing w:line="360" w:lineRule="auto"/>
        <w:ind w:firstLine="480" w:firstLineChars="200"/>
        <w:jc w:val="left"/>
        <w:textAlignment w:val="center"/>
        <w:rPr>
          <w:rFonts w:hint="eastAsia" w:ascii="宋体" w:hAnsi="宋体" w:eastAsia="宋体" w:cs="宋体"/>
          <w:kern w:val="0"/>
          <w:sz w:val="24"/>
          <w:szCs w:val="24"/>
        </w:rPr>
      </w:pPr>
      <w:r>
        <w:rPr>
          <w:rFonts w:ascii="宋体" w:hAnsi="宋体" w:eastAsia="宋体" w:cs="宋体"/>
          <w:color w:val="333333"/>
          <w:kern w:val="0"/>
          <w:sz w:val="24"/>
          <w:szCs w:val="24"/>
        </w:rPr>
        <w:t>1．</w:t>
      </w:r>
      <w:bookmarkStart w:id="7" w:name="_Hlk115265574"/>
      <w:r>
        <w:rPr>
          <w:rFonts w:hint="eastAsia" w:ascii="宋体" w:hAnsi="宋体" w:eastAsia="宋体" w:cs="宋体"/>
          <w:kern w:val="0"/>
          <w:sz w:val="24"/>
          <w:szCs w:val="24"/>
        </w:rPr>
        <w:t>我院成立博士生“申请-考核制”招生工作小组,对博士研究生招生工作统一管理，确保招生过程科学有序、公开透明、公正公平。</w:t>
      </w:r>
      <w:bookmarkEnd w:id="7"/>
      <w:r>
        <w:rPr>
          <w:rFonts w:hint="eastAsia" w:ascii="宋体" w:hAnsi="宋体" w:eastAsia="宋体" w:cs="宋体"/>
          <w:color w:val="333333"/>
          <w:kern w:val="0"/>
          <w:sz w:val="24"/>
          <w:szCs w:val="24"/>
        </w:rPr>
        <w:t>同时将</w:t>
      </w:r>
      <w:r>
        <w:rPr>
          <w:rFonts w:ascii="宋体" w:hAnsi="宋体" w:eastAsia="宋体" w:cs="宋体"/>
          <w:color w:val="333333"/>
          <w:kern w:val="0"/>
          <w:sz w:val="24"/>
          <w:szCs w:val="24"/>
        </w:rPr>
        <w:t>通过</w:t>
      </w:r>
      <w:r>
        <w:rPr>
          <w:rFonts w:hint="eastAsia" w:ascii="宋体" w:hAnsi="宋体" w:eastAsia="宋体" w:cs="宋体"/>
          <w:color w:val="333333"/>
          <w:kern w:val="0"/>
          <w:sz w:val="24"/>
          <w:szCs w:val="24"/>
        </w:rPr>
        <w:t>学院</w:t>
      </w:r>
      <w:r>
        <w:rPr>
          <w:rFonts w:ascii="宋体" w:hAnsi="宋体" w:eastAsia="宋体" w:cs="宋体"/>
          <w:color w:val="333333"/>
          <w:kern w:val="0"/>
          <w:sz w:val="24"/>
          <w:szCs w:val="24"/>
        </w:rPr>
        <w:t>网站公布博士研究生招生的相关说明、考核程序、复试名单和拟录取名单。</w:t>
      </w:r>
    </w:p>
    <w:p w14:paraId="7C2DCEE5">
      <w:pPr>
        <w:widowControl/>
        <w:shd w:val="clear" w:color="auto" w:fill="FFFFFF"/>
        <w:spacing w:before="156" w:beforeLines="50" w:line="360" w:lineRule="auto"/>
        <w:ind w:firstLine="480" w:firstLineChars="200"/>
        <w:jc w:val="left"/>
        <w:textAlignment w:val="center"/>
        <w:rPr>
          <w:rFonts w:hint="eastAsia" w:ascii="宋体" w:hAnsi="宋体" w:eastAsia="宋体" w:cs="宋体"/>
          <w:kern w:val="0"/>
          <w:sz w:val="24"/>
          <w:szCs w:val="24"/>
        </w:rPr>
      </w:pPr>
      <w:r>
        <w:rPr>
          <w:rFonts w:ascii="宋体" w:hAnsi="宋体" w:eastAsia="宋体" w:cs="宋体"/>
          <w:color w:val="333333"/>
          <w:kern w:val="0"/>
          <w:sz w:val="24"/>
          <w:szCs w:val="24"/>
        </w:rPr>
        <w:t>2．</w:t>
      </w:r>
      <w:r>
        <w:rPr>
          <w:rFonts w:hint="eastAsia" w:ascii="宋体" w:hAnsi="宋体" w:eastAsia="宋体" w:cs="宋体"/>
          <w:color w:val="333333"/>
          <w:kern w:val="0"/>
          <w:sz w:val="24"/>
          <w:szCs w:val="24"/>
        </w:rPr>
        <w:t>招生过程将在</w:t>
      </w:r>
      <w:r>
        <w:rPr>
          <w:rFonts w:ascii="宋体" w:hAnsi="宋体" w:eastAsia="宋体" w:cs="宋体"/>
          <w:color w:val="333333"/>
          <w:kern w:val="0"/>
          <w:sz w:val="24"/>
          <w:szCs w:val="24"/>
        </w:rPr>
        <w:t>研究生招生办公室与学校有关部门全程监督</w:t>
      </w:r>
      <w:r>
        <w:rPr>
          <w:rFonts w:hint="eastAsia" w:ascii="宋体" w:hAnsi="宋体" w:eastAsia="宋体" w:cs="宋体"/>
          <w:color w:val="333333"/>
          <w:kern w:val="0"/>
          <w:sz w:val="24"/>
          <w:szCs w:val="24"/>
        </w:rPr>
        <w:t>下完成</w:t>
      </w:r>
      <w:r>
        <w:rPr>
          <w:rFonts w:ascii="宋体" w:hAnsi="宋体" w:eastAsia="宋体" w:cs="宋体"/>
          <w:color w:val="333333"/>
          <w:kern w:val="0"/>
          <w:sz w:val="24"/>
          <w:szCs w:val="24"/>
        </w:rPr>
        <w:t>。申请人对博士招生环节有异议的，可向</w:t>
      </w:r>
      <w:r>
        <w:rPr>
          <w:rFonts w:hint="eastAsia" w:ascii="宋体" w:hAnsi="宋体" w:eastAsia="宋体" w:cs="宋体"/>
          <w:color w:val="333333"/>
          <w:kern w:val="0"/>
          <w:sz w:val="24"/>
          <w:szCs w:val="24"/>
        </w:rPr>
        <w:t>我院</w:t>
      </w:r>
      <w:r>
        <w:rPr>
          <w:rFonts w:ascii="宋体" w:hAnsi="宋体" w:eastAsia="宋体" w:cs="宋体"/>
          <w:color w:val="333333"/>
          <w:kern w:val="0"/>
          <w:sz w:val="24"/>
          <w:szCs w:val="24"/>
        </w:rPr>
        <w:t>以书面形式具名提出，</w:t>
      </w:r>
      <w:r>
        <w:rPr>
          <w:rFonts w:hint="eastAsia" w:ascii="宋体" w:hAnsi="宋体" w:eastAsia="宋体" w:cs="宋体"/>
          <w:color w:val="333333"/>
          <w:kern w:val="0"/>
          <w:sz w:val="24"/>
          <w:szCs w:val="24"/>
        </w:rPr>
        <w:t>我院</w:t>
      </w:r>
      <w:r>
        <w:rPr>
          <w:rFonts w:hint="eastAsia" w:ascii="宋体" w:hAnsi="宋体" w:eastAsia="宋体" w:cs="宋体"/>
          <w:kern w:val="0"/>
          <w:sz w:val="24"/>
          <w:szCs w:val="24"/>
        </w:rPr>
        <w:t>招生工作组将予以答复；申请人对答复有异议的，可向研究生招生办公室提出复查。</w:t>
      </w:r>
    </w:p>
    <w:p w14:paraId="03833D64">
      <w:pPr>
        <w:spacing w:before="156" w:beforeLines="50" w:line="360" w:lineRule="auto"/>
        <w:ind w:firstLine="482" w:firstLineChars="200"/>
        <w:rPr>
          <w:rFonts w:hint="eastAsia" w:ascii="宋体" w:hAnsi="宋体" w:eastAsia="宋体" w:cs="宋体"/>
          <w:kern w:val="0"/>
          <w:sz w:val="24"/>
          <w:szCs w:val="24"/>
        </w:rPr>
      </w:pPr>
      <w:r>
        <w:rPr>
          <w:rFonts w:hint="eastAsia" w:ascii="宋体" w:hAnsi="宋体" w:eastAsia="宋体"/>
          <w:b/>
          <w:sz w:val="24"/>
          <w:szCs w:val="24"/>
        </w:rPr>
        <w:t>八、</w:t>
      </w:r>
      <w:r>
        <w:rPr>
          <w:rFonts w:hint="eastAsia" w:ascii="宋体" w:hAnsi="宋体" w:eastAsia="宋体" w:cs="宋体"/>
          <w:b/>
          <w:kern w:val="0"/>
          <w:sz w:val="24"/>
          <w:szCs w:val="24"/>
        </w:rPr>
        <w:t>其它事项</w:t>
      </w:r>
    </w:p>
    <w:p w14:paraId="7A1E2D6D">
      <w:pPr>
        <w:spacing w:line="360" w:lineRule="auto"/>
        <w:ind w:firstLine="480" w:firstLineChars="200"/>
        <w:rPr>
          <w:rFonts w:hint="eastAsia" w:ascii="宋体" w:hAnsi="宋体" w:eastAsia="宋体" w:cs="宋体"/>
          <w:color w:val="333333"/>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考生可选择申请1个或2个研究方向，同时申请2个研究方向的考生须提</w:t>
      </w:r>
      <w:r>
        <w:rPr>
          <w:rFonts w:hint="eastAsia" w:ascii="宋体" w:hAnsi="宋体" w:eastAsia="宋体" w:cs="宋体"/>
          <w:color w:val="333333"/>
          <w:kern w:val="0"/>
          <w:sz w:val="24"/>
          <w:szCs w:val="24"/>
        </w:rPr>
        <w:t>交2份完整的申请材料，进入复试环节须确定一个研究方向。</w:t>
      </w:r>
    </w:p>
    <w:p w14:paraId="5CD6DDD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学习年限、毕业就业、学费、奖助学金、学生住宿</w:t>
      </w:r>
      <w:r>
        <w:rPr>
          <w:rFonts w:hint="eastAsia" w:ascii="宋体" w:hAnsi="宋体" w:eastAsia="宋体"/>
          <w:sz w:val="24"/>
          <w:szCs w:val="24"/>
        </w:rPr>
        <w:t>等具体事宜见北京大学2</w:t>
      </w:r>
      <w:r>
        <w:rPr>
          <w:rFonts w:ascii="宋体" w:hAnsi="宋体" w:eastAsia="宋体"/>
          <w:sz w:val="24"/>
          <w:szCs w:val="24"/>
        </w:rPr>
        <w:t>02</w:t>
      </w:r>
      <w:r>
        <w:rPr>
          <w:rFonts w:hint="eastAsia" w:ascii="宋体" w:hAnsi="宋体" w:eastAsia="宋体"/>
          <w:sz w:val="24"/>
          <w:szCs w:val="24"/>
          <w:lang w:val="en-US" w:eastAsia="zh-CN"/>
        </w:rPr>
        <w:t>6</w:t>
      </w:r>
      <w:r>
        <w:rPr>
          <w:rFonts w:hint="eastAsia" w:ascii="宋体" w:hAnsi="宋体" w:eastAsia="宋体"/>
          <w:sz w:val="24"/>
          <w:szCs w:val="24"/>
        </w:rPr>
        <w:t>年博士生招生简章</w:t>
      </w:r>
      <w:r>
        <w:rPr>
          <w:rFonts w:ascii="宋体" w:hAnsi="宋体" w:eastAsia="宋体"/>
          <w:sz w:val="24"/>
          <w:szCs w:val="24"/>
        </w:rPr>
        <w:t>（校本部）</w:t>
      </w:r>
      <w:r>
        <w:rPr>
          <w:rFonts w:hint="eastAsia" w:ascii="宋体" w:hAnsi="宋体" w:eastAsia="宋体"/>
          <w:sz w:val="24"/>
          <w:szCs w:val="24"/>
        </w:rPr>
        <w:t>。</w:t>
      </w:r>
    </w:p>
    <w:p w14:paraId="3A08BFD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 有关招生指导教师的情况</w:t>
      </w:r>
      <w:r>
        <w:rPr>
          <w:rFonts w:hint="eastAsia" w:ascii="宋体" w:hAnsi="宋体" w:eastAsia="宋体"/>
          <w:sz w:val="24"/>
          <w:szCs w:val="24"/>
        </w:rPr>
        <w:t>见</w:t>
      </w:r>
      <w:r>
        <w:rPr>
          <w:rFonts w:ascii="宋体" w:hAnsi="宋体" w:eastAsia="宋体"/>
          <w:sz w:val="24"/>
          <w:szCs w:val="24"/>
        </w:rPr>
        <w:t>我院网站“师资队伍”栏目</w:t>
      </w:r>
      <w:r>
        <w:rPr>
          <w:rFonts w:hint="eastAsia" w:ascii="宋体" w:hAnsi="宋体" w:eastAsia="宋体"/>
          <w:sz w:val="24"/>
          <w:szCs w:val="24"/>
        </w:rPr>
        <w:t>。</w:t>
      </w:r>
    </w:p>
    <w:p w14:paraId="3E58C2B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 xml:space="preserve">. </w:t>
      </w:r>
      <w:r>
        <w:rPr>
          <w:rFonts w:hint="eastAsia" w:ascii="宋体" w:hAnsi="宋体" w:eastAsia="宋体"/>
          <w:sz w:val="24"/>
          <w:szCs w:val="24"/>
        </w:rPr>
        <w:t>若上级部门在</w:t>
      </w:r>
      <w:r>
        <w:rPr>
          <w:rFonts w:ascii="宋体" w:hAnsi="宋体" w:eastAsia="宋体"/>
          <w:sz w:val="24"/>
          <w:szCs w:val="24"/>
        </w:rPr>
        <w:t xml:space="preserve"> 202</w:t>
      </w:r>
      <w:r>
        <w:rPr>
          <w:rFonts w:hint="eastAsia" w:ascii="宋体" w:hAnsi="宋体" w:eastAsia="宋体"/>
          <w:sz w:val="24"/>
          <w:szCs w:val="24"/>
        </w:rPr>
        <w:t>6</w:t>
      </w:r>
      <w:r>
        <w:rPr>
          <w:rFonts w:ascii="宋体" w:hAnsi="宋体" w:eastAsia="宋体"/>
          <w:sz w:val="24"/>
          <w:szCs w:val="24"/>
        </w:rPr>
        <w:t xml:space="preserve"> 年招生年度出台新的博士研究生招生政策，我</w:t>
      </w:r>
      <w:r>
        <w:rPr>
          <w:rFonts w:hint="eastAsia" w:ascii="宋体" w:hAnsi="宋体" w:eastAsia="宋体"/>
          <w:sz w:val="24"/>
          <w:szCs w:val="24"/>
        </w:rPr>
        <w:t>院</w:t>
      </w:r>
      <w:r>
        <w:rPr>
          <w:rFonts w:ascii="宋体" w:hAnsi="宋体" w:eastAsia="宋体"/>
          <w:sz w:val="24"/>
          <w:szCs w:val="24"/>
        </w:rPr>
        <w:t>将 做相应调整，并及时予以公告</w:t>
      </w:r>
      <w:r>
        <w:rPr>
          <w:rFonts w:hint="eastAsia" w:ascii="宋体" w:hAnsi="宋体" w:eastAsia="宋体"/>
          <w:sz w:val="24"/>
          <w:szCs w:val="24"/>
        </w:rPr>
        <w:t>。</w:t>
      </w:r>
    </w:p>
    <w:p w14:paraId="36836536">
      <w:pPr>
        <w:spacing w:line="360" w:lineRule="auto"/>
        <w:ind w:firstLine="480" w:firstLineChars="200"/>
        <w:rPr>
          <w:rFonts w:hint="eastAsia" w:ascii="宋体" w:hAnsi="宋体" w:eastAsia="宋体"/>
          <w:sz w:val="24"/>
          <w:szCs w:val="24"/>
        </w:rPr>
      </w:pPr>
      <w:r>
        <w:rPr>
          <w:rFonts w:ascii="宋体" w:hAnsi="宋体" w:eastAsia="宋体"/>
          <w:sz w:val="24"/>
          <w:szCs w:val="24"/>
        </w:rPr>
        <w:t>5.</w:t>
      </w:r>
      <w:r>
        <w:rPr>
          <w:rFonts w:hint="eastAsia" w:ascii="宋体" w:hAnsi="宋体" w:eastAsia="宋体"/>
          <w:sz w:val="24"/>
          <w:szCs w:val="24"/>
        </w:rPr>
        <w:t xml:space="preserve"> 本说明由北京大学对外汉语教育学院负责解释。</w:t>
      </w:r>
    </w:p>
    <w:p w14:paraId="34445652">
      <w:pPr>
        <w:spacing w:before="156" w:beforeLines="50" w:line="360" w:lineRule="auto"/>
        <w:ind w:firstLine="482" w:firstLineChars="200"/>
        <w:rPr>
          <w:rFonts w:hint="eastAsia" w:ascii="宋体" w:hAnsi="宋体" w:eastAsia="宋体"/>
          <w:b/>
          <w:sz w:val="24"/>
          <w:szCs w:val="24"/>
        </w:rPr>
      </w:pPr>
      <w:r>
        <w:rPr>
          <w:rFonts w:hint="eastAsia" w:ascii="宋体" w:hAnsi="宋体" w:eastAsia="宋体"/>
          <w:b/>
          <w:sz w:val="24"/>
          <w:szCs w:val="24"/>
        </w:rPr>
        <w:t>九、招生咨询</w:t>
      </w:r>
    </w:p>
    <w:p w14:paraId="3CB0489A">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北京大学对外汉语教育学院</w:t>
      </w:r>
    </w:p>
    <w:p w14:paraId="16C73F4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咨询电话：</w:t>
      </w:r>
      <w:r>
        <w:rPr>
          <w:rFonts w:ascii="宋体" w:hAnsi="宋体" w:eastAsia="宋体"/>
          <w:sz w:val="24"/>
          <w:szCs w:val="24"/>
        </w:rPr>
        <w:t xml:space="preserve">010-62753291        </w:t>
      </w:r>
    </w:p>
    <w:p w14:paraId="50A5E9C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电子邮件：</w:t>
      </w:r>
      <w:r>
        <w:rPr>
          <w:rFonts w:ascii="宋体" w:hAnsi="宋体" w:eastAsia="宋体"/>
          <w:sz w:val="24"/>
          <w:szCs w:val="24"/>
        </w:rPr>
        <w:t>hyzs@pku.edu.cn</w:t>
      </w:r>
    </w:p>
    <w:p w14:paraId="0807480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网 </w:t>
      </w:r>
      <w:r>
        <w:rPr>
          <w:rFonts w:ascii="宋体" w:hAnsi="宋体" w:eastAsia="宋体"/>
          <w:sz w:val="24"/>
          <w:szCs w:val="24"/>
        </w:rPr>
        <w:t xml:space="preserve">   址：</w:t>
      </w:r>
      <w:r>
        <w:fldChar w:fldCharType="begin"/>
      </w:r>
      <w:r>
        <w:instrText xml:space="preserve"> HYPERLINK "http://hanyu.pku.edu.cn" </w:instrText>
      </w:r>
      <w:r>
        <w:fldChar w:fldCharType="separate"/>
      </w:r>
      <w:r>
        <w:rPr>
          <w:rStyle w:val="11"/>
          <w:rFonts w:ascii="宋体" w:hAnsi="宋体" w:eastAsia="宋体"/>
          <w:color w:val="auto"/>
          <w:sz w:val="24"/>
          <w:szCs w:val="24"/>
          <w:u w:val="none"/>
        </w:rPr>
        <w:t>http://hanyu.pku.edu.cn</w:t>
      </w:r>
      <w:r>
        <w:rPr>
          <w:rStyle w:val="11"/>
          <w:rFonts w:ascii="宋体" w:hAnsi="宋体" w:eastAsia="宋体"/>
          <w:color w:val="auto"/>
          <w:sz w:val="24"/>
          <w:szCs w:val="24"/>
          <w:u w:val="none"/>
        </w:rPr>
        <w:fldChar w:fldCharType="end"/>
      </w:r>
    </w:p>
    <w:p w14:paraId="1A62CCE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联系地址：北京大学对外汉语教育学院</w:t>
      </w:r>
      <w:r>
        <w:rPr>
          <w:rFonts w:ascii="宋体" w:hAnsi="宋体" w:eastAsia="宋体"/>
          <w:sz w:val="24"/>
          <w:szCs w:val="24"/>
        </w:rPr>
        <w:t>219室，邮编为100871</w:t>
      </w:r>
    </w:p>
    <w:p w14:paraId="28DDDBE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对外咨询时间：每周一至周五（上午</w:t>
      </w:r>
      <w:r>
        <w:rPr>
          <w:rFonts w:ascii="宋体" w:hAnsi="宋体" w:eastAsia="宋体"/>
          <w:sz w:val="24"/>
          <w:szCs w:val="24"/>
        </w:rPr>
        <w:t>8:30-11:00，下午1:30-4:30）</w:t>
      </w:r>
    </w:p>
    <w:p w14:paraId="57F1AD61">
      <w:pPr>
        <w:spacing w:line="360" w:lineRule="auto"/>
        <w:ind w:firstLine="480" w:firstLineChars="200"/>
        <w:rPr>
          <w:rFonts w:hint="eastAsia" w:ascii="宋体" w:hAnsi="宋体" w:eastAsia="宋体"/>
          <w:sz w:val="24"/>
          <w:szCs w:val="24"/>
        </w:rPr>
      </w:pPr>
      <w:r>
        <w:rPr>
          <w:rFonts w:ascii="宋体" w:hAnsi="宋体" w:eastAsia="宋体"/>
          <w:sz w:val="24"/>
          <w:szCs w:val="24"/>
        </w:rPr>
        <w:t>办公地点</w:t>
      </w:r>
      <w:r>
        <w:rPr>
          <w:rFonts w:hint="eastAsia" w:ascii="宋体" w:hAnsi="宋体" w:eastAsia="宋体"/>
          <w:sz w:val="24"/>
          <w:szCs w:val="24"/>
        </w:rPr>
        <w:t>：</w:t>
      </w:r>
      <w:r>
        <w:rPr>
          <w:rFonts w:ascii="宋体" w:hAnsi="宋体" w:eastAsia="宋体"/>
          <w:sz w:val="24"/>
          <w:szCs w:val="24"/>
        </w:rPr>
        <w:t>北京大学对外汉语教育学院219房间</w:t>
      </w:r>
    </w:p>
    <w:p w14:paraId="62086D6F">
      <w:pPr>
        <w:spacing w:line="360" w:lineRule="auto"/>
        <w:ind w:firstLine="480" w:firstLineChars="200"/>
        <w:rPr>
          <w:rFonts w:hint="eastAsia" w:ascii="宋体" w:hAnsi="宋体" w:eastAsia="宋体"/>
          <w:sz w:val="24"/>
          <w:szCs w:val="24"/>
        </w:rPr>
      </w:pPr>
    </w:p>
    <w:p w14:paraId="6D95424B">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北京大学研究生招生办公室</w:t>
      </w:r>
    </w:p>
    <w:p w14:paraId="6DA17FB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咨询电话：</w:t>
      </w:r>
      <w:r>
        <w:rPr>
          <w:rFonts w:ascii="宋体" w:hAnsi="宋体" w:eastAsia="宋体"/>
          <w:sz w:val="24"/>
          <w:szCs w:val="24"/>
        </w:rPr>
        <w:t xml:space="preserve">010-62751354 </w:t>
      </w:r>
    </w:p>
    <w:p w14:paraId="051BD19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监督电话：</w:t>
      </w:r>
      <w:r>
        <w:rPr>
          <w:rFonts w:ascii="宋体" w:hAnsi="宋体" w:eastAsia="宋体"/>
          <w:sz w:val="24"/>
          <w:szCs w:val="24"/>
        </w:rPr>
        <w:t>010-62756913</w:t>
      </w:r>
    </w:p>
    <w:p w14:paraId="2342A48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联系地址：北京大学燕园大厦1</w:t>
      </w:r>
      <w:r>
        <w:rPr>
          <w:rFonts w:ascii="宋体" w:hAnsi="宋体" w:eastAsia="宋体"/>
          <w:sz w:val="24"/>
          <w:szCs w:val="24"/>
        </w:rPr>
        <w:t>3</w:t>
      </w:r>
      <w:r>
        <w:rPr>
          <w:rFonts w:hint="eastAsia" w:ascii="宋体" w:hAnsi="宋体" w:eastAsia="宋体"/>
          <w:sz w:val="24"/>
          <w:szCs w:val="24"/>
        </w:rPr>
        <w:t>层，邮编：</w:t>
      </w:r>
      <w:r>
        <w:rPr>
          <w:rFonts w:ascii="宋体" w:hAnsi="宋体" w:eastAsia="宋体"/>
          <w:sz w:val="24"/>
          <w:szCs w:val="24"/>
        </w:rPr>
        <w:t>100871</w:t>
      </w:r>
    </w:p>
    <w:p w14:paraId="34F54A6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网 </w:t>
      </w:r>
      <w:r>
        <w:rPr>
          <w:rFonts w:ascii="宋体" w:hAnsi="宋体" w:eastAsia="宋体"/>
          <w:sz w:val="24"/>
          <w:szCs w:val="24"/>
        </w:rPr>
        <w:t xml:space="preserve">   </w:t>
      </w:r>
      <w:r>
        <w:rPr>
          <w:rFonts w:hint="eastAsia" w:ascii="宋体" w:hAnsi="宋体" w:eastAsia="宋体"/>
          <w:sz w:val="24"/>
          <w:szCs w:val="24"/>
        </w:rPr>
        <w:t>址：</w:t>
      </w:r>
      <w:r>
        <w:fldChar w:fldCharType="begin"/>
      </w:r>
      <w:r>
        <w:instrText xml:space="preserve"> HYPERLINK "http://grs.pku.edu.cn/" </w:instrText>
      </w:r>
      <w:r>
        <w:fldChar w:fldCharType="separate"/>
      </w:r>
      <w:r>
        <w:rPr>
          <w:rStyle w:val="11"/>
          <w:rFonts w:ascii="宋体" w:hAnsi="宋体" w:eastAsia="宋体"/>
          <w:color w:val="auto"/>
          <w:sz w:val="24"/>
          <w:szCs w:val="24"/>
          <w:u w:val="none"/>
        </w:rPr>
        <w:t>http://grs.pku.edu.cn/</w:t>
      </w:r>
      <w:r>
        <w:rPr>
          <w:rStyle w:val="11"/>
          <w:rFonts w:ascii="宋体" w:hAnsi="宋体" w:eastAsia="宋体"/>
          <w:color w:val="auto"/>
          <w:sz w:val="24"/>
          <w:szCs w:val="24"/>
          <w:u w:val="none"/>
        </w:rPr>
        <w:fldChar w:fldCharType="end"/>
      </w:r>
    </w:p>
    <w:p w14:paraId="75239C80">
      <w:pPr>
        <w:spacing w:line="360" w:lineRule="auto"/>
        <w:ind w:firstLine="480" w:firstLineChars="200"/>
        <w:jc w:val="right"/>
        <w:rPr>
          <w:rFonts w:hint="eastAsia" w:ascii="宋体" w:hAnsi="宋体" w:eastAsia="宋体"/>
          <w:sz w:val="24"/>
          <w:szCs w:val="24"/>
        </w:rPr>
      </w:pPr>
    </w:p>
    <w:p w14:paraId="4ED782D3">
      <w:pPr>
        <w:spacing w:line="360" w:lineRule="auto"/>
        <w:ind w:firstLine="480" w:firstLineChars="200"/>
        <w:jc w:val="right"/>
        <w:rPr>
          <w:rFonts w:hint="eastAsia" w:ascii="宋体" w:hAnsi="宋体" w:eastAsia="宋体"/>
          <w:sz w:val="24"/>
          <w:szCs w:val="24"/>
        </w:rPr>
      </w:pPr>
      <w:r>
        <w:rPr>
          <w:rFonts w:hint="eastAsia" w:ascii="宋体" w:hAnsi="宋体" w:eastAsia="宋体"/>
          <w:sz w:val="24"/>
          <w:szCs w:val="24"/>
        </w:rPr>
        <w:t>北京大学对外汉语教育学院</w:t>
      </w:r>
    </w:p>
    <w:p w14:paraId="136067CB">
      <w:pPr>
        <w:spacing w:line="360" w:lineRule="auto"/>
        <w:ind w:right="480" w:firstLine="480" w:firstLineChars="200"/>
        <w:jc w:val="right"/>
        <w:rPr>
          <w:rFonts w:hint="eastAsia" w:ascii="宋体" w:hAnsi="宋体" w:eastAsia="宋体"/>
          <w:sz w:val="24"/>
          <w:szCs w:val="24"/>
        </w:rPr>
      </w:pPr>
      <w:r>
        <w:rPr>
          <w:rFonts w:ascii="宋体" w:hAnsi="宋体" w:eastAsia="宋体"/>
          <w:sz w:val="24"/>
          <w:szCs w:val="24"/>
        </w:rPr>
        <w:t>20</w:t>
      </w:r>
      <w:r>
        <w:rPr>
          <w:rFonts w:hint="eastAsia" w:ascii="宋体" w:hAnsi="宋体" w:eastAsia="宋体"/>
          <w:sz w:val="24"/>
          <w:szCs w:val="24"/>
        </w:rPr>
        <w:t>25</w:t>
      </w:r>
      <w:r>
        <w:rPr>
          <w:rFonts w:ascii="宋体" w:hAnsi="宋体" w:eastAsia="宋体"/>
          <w:sz w:val="24"/>
          <w:szCs w:val="24"/>
        </w:rPr>
        <w:t>年</w:t>
      </w:r>
      <w:r>
        <w:rPr>
          <w:rFonts w:hint="eastAsia" w:ascii="宋体" w:hAnsi="宋体" w:eastAsia="宋体"/>
          <w:sz w:val="24"/>
          <w:szCs w:val="24"/>
        </w:rPr>
        <w:t>10</w:t>
      </w:r>
      <w:r>
        <w:rPr>
          <w:rFonts w:ascii="宋体" w:hAnsi="宋体" w:eastAsia="宋体"/>
          <w:sz w:val="24"/>
          <w:szCs w:val="24"/>
        </w:rPr>
        <w:t>月</w:t>
      </w:r>
      <w:r>
        <w:rPr>
          <w:rFonts w:hint="eastAsia" w:ascii="宋体" w:hAnsi="宋体" w:eastAsia="宋体"/>
          <w:sz w:val="24"/>
          <w:szCs w:val="24"/>
        </w:rPr>
        <w:t>1</w:t>
      </w:r>
      <w:r>
        <w:rPr>
          <w:rFonts w:hint="eastAsia" w:ascii="宋体" w:hAnsi="宋体" w:eastAsia="宋体"/>
          <w:sz w:val="24"/>
          <w:szCs w:val="24"/>
          <w:lang w:val="en-US" w:eastAsia="zh-CN"/>
        </w:rPr>
        <w:t>5</w:t>
      </w:r>
      <w:r>
        <w:rPr>
          <w:rFonts w:hint="eastAsia" w:ascii="宋体" w:hAnsi="宋体"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rebuchet MS">
    <w:panose1 w:val="020B0603020202020204"/>
    <w:charset w:val="00"/>
    <w:family w:val="swiss"/>
    <w:pitch w:val="default"/>
    <w:sig w:usb0="00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D8"/>
    <w:rsid w:val="00006D4B"/>
    <w:rsid w:val="00022F25"/>
    <w:rsid w:val="000255A9"/>
    <w:rsid w:val="00037C0E"/>
    <w:rsid w:val="000477AC"/>
    <w:rsid w:val="000532AB"/>
    <w:rsid w:val="000540A9"/>
    <w:rsid w:val="00061AA2"/>
    <w:rsid w:val="0006694D"/>
    <w:rsid w:val="00075386"/>
    <w:rsid w:val="00075960"/>
    <w:rsid w:val="00077501"/>
    <w:rsid w:val="00080ED2"/>
    <w:rsid w:val="00092173"/>
    <w:rsid w:val="0009229A"/>
    <w:rsid w:val="00096776"/>
    <w:rsid w:val="000A2663"/>
    <w:rsid w:val="000B26BE"/>
    <w:rsid w:val="000C3089"/>
    <w:rsid w:val="000C3761"/>
    <w:rsid w:val="000C3B34"/>
    <w:rsid w:val="000C7129"/>
    <w:rsid w:val="000C7DB8"/>
    <w:rsid w:val="000E002A"/>
    <w:rsid w:val="000E381D"/>
    <w:rsid w:val="000E4D00"/>
    <w:rsid w:val="000E6FB2"/>
    <w:rsid w:val="000E7570"/>
    <w:rsid w:val="000F334A"/>
    <w:rsid w:val="000F7135"/>
    <w:rsid w:val="001019CA"/>
    <w:rsid w:val="0010686E"/>
    <w:rsid w:val="001163F7"/>
    <w:rsid w:val="00132F5C"/>
    <w:rsid w:val="001349F2"/>
    <w:rsid w:val="001356D3"/>
    <w:rsid w:val="001362FD"/>
    <w:rsid w:val="001379CF"/>
    <w:rsid w:val="0015032A"/>
    <w:rsid w:val="001606A2"/>
    <w:rsid w:val="00164F39"/>
    <w:rsid w:val="001725DC"/>
    <w:rsid w:val="001805F3"/>
    <w:rsid w:val="00182AAA"/>
    <w:rsid w:val="00182EA8"/>
    <w:rsid w:val="001845E3"/>
    <w:rsid w:val="00192060"/>
    <w:rsid w:val="00193BF3"/>
    <w:rsid w:val="0019574E"/>
    <w:rsid w:val="001B0226"/>
    <w:rsid w:val="001B0921"/>
    <w:rsid w:val="001B4B52"/>
    <w:rsid w:val="001B5515"/>
    <w:rsid w:val="001C0636"/>
    <w:rsid w:val="001C3895"/>
    <w:rsid w:val="001C563B"/>
    <w:rsid w:val="001D4817"/>
    <w:rsid w:val="001D4DEB"/>
    <w:rsid w:val="001D799F"/>
    <w:rsid w:val="001E1810"/>
    <w:rsid w:val="001F403C"/>
    <w:rsid w:val="002026A0"/>
    <w:rsid w:val="00212C9D"/>
    <w:rsid w:val="002176DF"/>
    <w:rsid w:val="00220329"/>
    <w:rsid w:val="00223BCB"/>
    <w:rsid w:val="00227F84"/>
    <w:rsid w:val="002308C4"/>
    <w:rsid w:val="00232088"/>
    <w:rsid w:val="002421C5"/>
    <w:rsid w:val="00247A61"/>
    <w:rsid w:val="00247CCE"/>
    <w:rsid w:val="00272810"/>
    <w:rsid w:val="00273A8F"/>
    <w:rsid w:val="002745DB"/>
    <w:rsid w:val="00275837"/>
    <w:rsid w:val="00282680"/>
    <w:rsid w:val="002834B1"/>
    <w:rsid w:val="002866F8"/>
    <w:rsid w:val="00286C81"/>
    <w:rsid w:val="002931A0"/>
    <w:rsid w:val="002968B0"/>
    <w:rsid w:val="002A0851"/>
    <w:rsid w:val="002A6011"/>
    <w:rsid w:val="002B1E6F"/>
    <w:rsid w:val="002B21A3"/>
    <w:rsid w:val="002B3578"/>
    <w:rsid w:val="002B51DF"/>
    <w:rsid w:val="002B5BCA"/>
    <w:rsid w:val="002B6423"/>
    <w:rsid w:val="002C094D"/>
    <w:rsid w:val="002C7D57"/>
    <w:rsid w:val="002D5C8A"/>
    <w:rsid w:val="002D69D2"/>
    <w:rsid w:val="002D6A4A"/>
    <w:rsid w:val="002D6AE9"/>
    <w:rsid w:val="002E0166"/>
    <w:rsid w:val="002E252F"/>
    <w:rsid w:val="002F49BB"/>
    <w:rsid w:val="002F5567"/>
    <w:rsid w:val="002F5EAB"/>
    <w:rsid w:val="00302F28"/>
    <w:rsid w:val="00304739"/>
    <w:rsid w:val="0030740E"/>
    <w:rsid w:val="003113D5"/>
    <w:rsid w:val="0031240C"/>
    <w:rsid w:val="00313A5F"/>
    <w:rsid w:val="00314DDD"/>
    <w:rsid w:val="003204FB"/>
    <w:rsid w:val="00327169"/>
    <w:rsid w:val="003271DB"/>
    <w:rsid w:val="0033483E"/>
    <w:rsid w:val="00352B32"/>
    <w:rsid w:val="00355FB8"/>
    <w:rsid w:val="003619C7"/>
    <w:rsid w:val="0036434D"/>
    <w:rsid w:val="00364558"/>
    <w:rsid w:val="00370D51"/>
    <w:rsid w:val="00370EF9"/>
    <w:rsid w:val="00376ECF"/>
    <w:rsid w:val="00385588"/>
    <w:rsid w:val="00396CD7"/>
    <w:rsid w:val="003A2EF5"/>
    <w:rsid w:val="003A6C4F"/>
    <w:rsid w:val="003B54C2"/>
    <w:rsid w:val="003B5610"/>
    <w:rsid w:val="003B63C7"/>
    <w:rsid w:val="003C07E5"/>
    <w:rsid w:val="003C50FA"/>
    <w:rsid w:val="003C7813"/>
    <w:rsid w:val="003D0257"/>
    <w:rsid w:val="003D366A"/>
    <w:rsid w:val="003D36FB"/>
    <w:rsid w:val="003E405D"/>
    <w:rsid w:val="003E47A5"/>
    <w:rsid w:val="003F34C5"/>
    <w:rsid w:val="003F3780"/>
    <w:rsid w:val="003F7AB5"/>
    <w:rsid w:val="00405A39"/>
    <w:rsid w:val="004104F9"/>
    <w:rsid w:val="00414BC1"/>
    <w:rsid w:val="00421FCD"/>
    <w:rsid w:val="004277D6"/>
    <w:rsid w:val="00427E0E"/>
    <w:rsid w:val="00430EA0"/>
    <w:rsid w:val="004330BF"/>
    <w:rsid w:val="00433548"/>
    <w:rsid w:val="004412EF"/>
    <w:rsid w:val="00443221"/>
    <w:rsid w:val="00444706"/>
    <w:rsid w:val="00451334"/>
    <w:rsid w:val="00460BB0"/>
    <w:rsid w:val="004649F6"/>
    <w:rsid w:val="00464B15"/>
    <w:rsid w:val="00474F53"/>
    <w:rsid w:val="004805D8"/>
    <w:rsid w:val="0049366B"/>
    <w:rsid w:val="00496E7B"/>
    <w:rsid w:val="004A040C"/>
    <w:rsid w:val="004A1703"/>
    <w:rsid w:val="004A1984"/>
    <w:rsid w:val="004A2855"/>
    <w:rsid w:val="004A3F90"/>
    <w:rsid w:val="004B3D10"/>
    <w:rsid w:val="004C454A"/>
    <w:rsid w:val="004D19D3"/>
    <w:rsid w:val="004D347A"/>
    <w:rsid w:val="004E11C8"/>
    <w:rsid w:val="004E136C"/>
    <w:rsid w:val="004E77FA"/>
    <w:rsid w:val="004F0D28"/>
    <w:rsid w:val="004F74D2"/>
    <w:rsid w:val="004F7A7A"/>
    <w:rsid w:val="005050D3"/>
    <w:rsid w:val="005050FE"/>
    <w:rsid w:val="00506A06"/>
    <w:rsid w:val="00511313"/>
    <w:rsid w:val="00520F34"/>
    <w:rsid w:val="00525D37"/>
    <w:rsid w:val="005278BB"/>
    <w:rsid w:val="00536CC3"/>
    <w:rsid w:val="00544B94"/>
    <w:rsid w:val="00547506"/>
    <w:rsid w:val="005502FA"/>
    <w:rsid w:val="00551A8B"/>
    <w:rsid w:val="00553D31"/>
    <w:rsid w:val="00555C9B"/>
    <w:rsid w:val="0056476D"/>
    <w:rsid w:val="00571561"/>
    <w:rsid w:val="00575E40"/>
    <w:rsid w:val="005779D0"/>
    <w:rsid w:val="00580B87"/>
    <w:rsid w:val="0058131E"/>
    <w:rsid w:val="0059738C"/>
    <w:rsid w:val="005B025C"/>
    <w:rsid w:val="005B52F5"/>
    <w:rsid w:val="005B6551"/>
    <w:rsid w:val="005B7834"/>
    <w:rsid w:val="005C0CD8"/>
    <w:rsid w:val="005C108A"/>
    <w:rsid w:val="005C3FEC"/>
    <w:rsid w:val="005D24F8"/>
    <w:rsid w:val="005D2665"/>
    <w:rsid w:val="005D61F4"/>
    <w:rsid w:val="005E5F84"/>
    <w:rsid w:val="005F0717"/>
    <w:rsid w:val="005F3A3C"/>
    <w:rsid w:val="005F7980"/>
    <w:rsid w:val="00602E10"/>
    <w:rsid w:val="00607246"/>
    <w:rsid w:val="006074B5"/>
    <w:rsid w:val="00612B2E"/>
    <w:rsid w:val="00614753"/>
    <w:rsid w:val="0061598B"/>
    <w:rsid w:val="00621797"/>
    <w:rsid w:val="00622147"/>
    <w:rsid w:val="00624183"/>
    <w:rsid w:val="00626711"/>
    <w:rsid w:val="006350F7"/>
    <w:rsid w:val="006359B5"/>
    <w:rsid w:val="00636634"/>
    <w:rsid w:val="00637C0E"/>
    <w:rsid w:val="00653F96"/>
    <w:rsid w:val="00663557"/>
    <w:rsid w:val="00672C29"/>
    <w:rsid w:val="00674410"/>
    <w:rsid w:val="00675412"/>
    <w:rsid w:val="006827B3"/>
    <w:rsid w:val="00691918"/>
    <w:rsid w:val="00694CC7"/>
    <w:rsid w:val="00697B5D"/>
    <w:rsid w:val="00697C28"/>
    <w:rsid w:val="006A0DF3"/>
    <w:rsid w:val="006A1839"/>
    <w:rsid w:val="006A4ADF"/>
    <w:rsid w:val="006A5AB0"/>
    <w:rsid w:val="006A6E40"/>
    <w:rsid w:val="006B54DA"/>
    <w:rsid w:val="006D06C6"/>
    <w:rsid w:val="006D2886"/>
    <w:rsid w:val="006E7318"/>
    <w:rsid w:val="006F275A"/>
    <w:rsid w:val="006F2767"/>
    <w:rsid w:val="00704982"/>
    <w:rsid w:val="00707F65"/>
    <w:rsid w:val="00716123"/>
    <w:rsid w:val="00724388"/>
    <w:rsid w:val="00733888"/>
    <w:rsid w:val="007367B3"/>
    <w:rsid w:val="007379DC"/>
    <w:rsid w:val="00740BC8"/>
    <w:rsid w:val="007444A3"/>
    <w:rsid w:val="0075364E"/>
    <w:rsid w:val="00762B0B"/>
    <w:rsid w:val="00767B4F"/>
    <w:rsid w:val="007735FD"/>
    <w:rsid w:val="007779E1"/>
    <w:rsid w:val="00777B0D"/>
    <w:rsid w:val="00786F9C"/>
    <w:rsid w:val="00791727"/>
    <w:rsid w:val="0079388A"/>
    <w:rsid w:val="007A2E46"/>
    <w:rsid w:val="007C2496"/>
    <w:rsid w:val="007C2F7A"/>
    <w:rsid w:val="007C71A2"/>
    <w:rsid w:val="007D3CEC"/>
    <w:rsid w:val="007D6D12"/>
    <w:rsid w:val="007E1494"/>
    <w:rsid w:val="007E28A5"/>
    <w:rsid w:val="007E5B96"/>
    <w:rsid w:val="007E7206"/>
    <w:rsid w:val="007E77F6"/>
    <w:rsid w:val="007F7C8A"/>
    <w:rsid w:val="00800B51"/>
    <w:rsid w:val="00801B38"/>
    <w:rsid w:val="00804B96"/>
    <w:rsid w:val="00810168"/>
    <w:rsid w:val="008130A2"/>
    <w:rsid w:val="0082223B"/>
    <w:rsid w:val="00826BFF"/>
    <w:rsid w:val="00827681"/>
    <w:rsid w:val="008307B7"/>
    <w:rsid w:val="00833DE7"/>
    <w:rsid w:val="008430EF"/>
    <w:rsid w:val="00846302"/>
    <w:rsid w:val="00862DC5"/>
    <w:rsid w:val="008633E6"/>
    <w:rsid w:val="00865BDC"/>
    <w:rsid w:val="00865D7A"/>
    <w:rsid w:val="008746B3"/>
    <w:rsid w:val="0087515D"/>
    <w:rsid w:val="00880FFF"/>
    <w:rsid w:val="00885A0C"/>
    <w:rsid w:val="00885E35"/>
    <w:rsid w:val="008902BD"/>
    <w:rsid w:val="00892FCC"/>
    <w:rsid w:val="008935A9"/>
    <w:rsid w:val="008A2D2B"/>
    <w:rsid w:val="008B23ED"/>
    <w:rsid w:val="008B24F0"/>
    <w:rsid w:val="008B4F67"/>
    <w:rsid w:val="008C00DC"/>
    <w:rsid w:val="008C1904"/>
    <w:rsid w:val="008C6926"/>
    <w:rsid w:val="008F696F"/>
    <w:rsid w:val="00901AD8"/>
    <w:rsid w:val="009039CC"/>
    <w:rsid w:val="009047B9"/>
    <w:rsid w:val="00906552"/>
    <w:rsid w:val="0091108A"/>
    <w:rsid w:val="00921E18"/>
    <w:rsid w:val="00926534"/>
    <w:rsid w:val="00926F45"/>
    <w:rsid w:val="00930818"/>
    <w:rsid w:val="00936078"/>
    <w:rsid w:val="00936311"/>
    <w:rsid w:val="0094532B"/>
    <w:rsid w:val="00946FB8"/>
    <w:rsid w:val="009524DC"/>
    <w:rsid w:val="00967FF2"/>
    <w:rsid w:val="00970AB2"/>
    <w:rsid w:val="00971425"/>
    <w:rsid w:val="00980931"/>
    <w:rsid w:val="00984C96"/>
    <w:rsid w:val="00992406"/>
    <w:rsid w:val="0099242B"/>
    <w:rsid w:val="009930F1"/>
    <w:rsid w:val="0099645B"/>
    <w:rsid w:val="009A1DF9"/>
    <w:rsid w:val="009A22CD"/>
    <w:rsid w:val="009A2C8F"/>
    <w:rsid w:val="009A410F"/>
    <w:rsid w:val="009C04A0"/>
    <w:rsid w:val="009C135E"/>
    <w:rsid w:val="009C2649"/>
    <w:rsid w:val="009C6D6F"/>
    <w:rsid w:val="009D6481"/>
    <w:rsid w:val="009E20D5"/>
    <w:rsid w:val="009E2643"/>
    <w:rsid w:val="009F55DA"/>
    <w:rsid w:val="009F7CB9"/>
    <w:rsid w:val="00A06A4D"/>
    <w:rsid w:val="00A11220"/>
    <w:rsid w:val="00A27E3B"/>
    <w:rsid w:val="00A44E4C"/>
    <w:rsid w:val="00A477C3"/>
    <w:rsid w:val="00A53825"/>
    <w:rsid w:val="00A55357"/>
    <w:rsid w:val="00A70790"/>
    <w:rsid w:val="00A750D2"/>
    <w:rsid w:val="00A822F0"/>
    <w:rsid w:val="00A87F29"/>
    <w:rsid w:val="00A979EE"/>
    <w:rsid w:val="00AA1229"/>
    <w:rsid w:val="00AA55FA"/>
    <w:rsid w:val="00AA77C9"/>
    <w:rsid w:val="00AB0674"/>
    <w:rsid w:val="00AB0E51"/>
    <w:rsid w:val="00AB12AA"/>
    <w:rsid w:val="00AC3065"/>
    <w:rsid w:val="00AD2DA7"/>
    <w:rsid w:val="00AD36AD"/>
    <w:rsid w:val="00AE1B98"/>
    <w:rsid w:val="00AE3327"/>
    <w:rsid w:val="00AF0DF8"/>
    <w:rsid w:val="00AF2753"/>
    <w:rsid w:val="00AF5FFF"/>
    <w:rsid w:val="00B04BBE"/>
    <w:rsid w:val="00B05141"/>
    <w:rsid w:val="00B063EC"/>
    <w:rsid w:val="00B0783A"/>
    <w:rsid w:val="00B11302"/>
    <w:rsid w:val="00B1366E"/>
    <w:rsid w:val="00B259E8"/>
    <w:rsid w:val="00B366E3"/>
    <w:rsid w:val="00B46040"/>
    <w:rsid w:val="00B5068F"/>
    <w:rsid w:val="00B52757"/>
    <w:rsid w:val="00B563DE"/>
    <w:rsid w:val="00B56DAA"/>
    <w:rsid w:val="00B64C51"/>
    <w:rsid w:val="00B66E21"/>
    <w:rsid w:val="00B6754E"/>
    <w:rsid w:val="00B7098F"/>
    <w:rsid w:val="00B70A6F"/>
    <w:rsid w:val="00B8046C"/>
    <w:rsid w:val="00B81090"/>
    <w:rsid w:val="00B82285"/>
    <w:rsid w:val="00B85C1D"/>
    <w:rsid w:val="00B867F8"/>
    <w:rsid w:val="00B877CD"/>
    <w:rsid w:val="00B9289D"/>
    <w:rsid w:val="00B941AB"/>
    <w:rsid w:val="00BA01E4"/>
    <w:rsid w:val="00BB0B24"/>
    <w:rsid w:val="00BB3A73"/>
    <w:rsid w:val="00BB455E"/>
    <w:rsid w:val="00BD1251"/>
    <w:rsid w:val="00BD4D70"/>
    <w:rsid w:val="00BD6467"/>
    <w:rsid w:val="00BE1E5E"/>
    <w:rsid w:val="00BE3AD8"/>
    <w:rsid w:val="00BF138C"/>
    <w:rsid w:val="00BF4496"/>
    <w:rsid w:val="00C07C70"/>
    <w:rsid w:val="00C109B9"/>
    <w:rsid w:val="00C146E9"/>
    <w:rsid w:val="00C3553F"/>
    <w:rsid w:val="00C40C30"/>
    <w:rsid w:val="00C40F59"/>
    <w:rsid w:val="00C426A6"/>
    <w:rsid w:val="00C42E8F"/>
    <w:rsid w:val="00C57424"/>
    <w:rsid w:val="00C57B0F"/>
    <w:rsid w:val="00C63965"/>
    <w:rsid w:val="00C6525A"/>
    <w:rsid w:val="00C657ED"/>
    <w:rsid w:val="00C76872"/>
    <w:rsid w:val="00C8364F"/>
    <w:rsid w:val="00C8672B"/>
    <w:rsid w:val="00CA0B6A"/>
    <w:rsid w:val="00CA22B9"/>
    <w:rsid w:val="00CB295F"/>
    <w:rsid w:val="00CB64E8"/>
    <w:rsid w:val="00CC12AD"/>
    <w:rsid w:val="00CC44D2"/>
    <w:rsid w:val="00CC784B"/>
    <w:rsid w:val="00CD12FF"/>
    <w:rsid w:val="00CD1870"/>
    <w:rsid w:val="00CD79B3"/>
    <w:rsid w:val="00CE0A0A"/>
    <w:rsid w:val="00CE5CA2"/>
    <w:rsid w:val="00CE71E5"/>
    <w:rsid w:val="00CF435C"/>
    <w:rsid w:val="00D056D2"/>
    <w:rsid w:val="00D12391"/>
    <w:rsid w:val="00D12A3E"/>
    <w:rsid w:val="00D23F8C"/>
    <w:rsid w:val="00D26AD1"/>
    <w:rsid w:val="00D26EB4"/>
    <w:rsid w:val="00D335C4"/>
    <w:rsid w:val="00D35397"/>
    <w:rsid w:val="00D45B88"/>
    <w:rsid w:val="00D46789"/>
    <w:rsid w:val="00D47C61"/>
    <w:rsid w:val="00D50E2D"/>
    <w:rsid w:val="00D53E2D"/>
    <w:rsid w:val="00D656FB"/>
    <w:rsid w:val="00D67525"/>
    <w:rsid w:val="00D80503"/>
    <w:rsid w:val="00D80B32"/>
    <w:rsid w:val="00D8454D"/>
    <w:rsid w:val="00D84FF3"/>
    <w:rsid w:val="00D8605C"/>
    <w:rsid w:val="00D87AB3"/>
    <w:rsid w:val="00D9015F"/>
    <w:rsid w:val="00D95267"/>
    <w:rsid w:val="00D978C0"/>
    <w:rsid w:val="00DA5D48"/>
    <w:rsid w:val="00DA6E73"/>
    <w:rsid w:val="00DB1DEF"/>
    <w:rsid w:val="00DB20EC"/>
    <w:rsid w:val="00DB3C63"/>
    <w:rsid w:val="00DB6773"/>
    <w:rsid w:val="00DC66A1"/>
    <w:rsid w:val="00DD239A"/>
    <w:rsid w:val="00DD616D"/>
    <w:rsid w:val="00DD7C97"/>
    <w:rsid w:val="00DE2A3A"/>
    <w:rsid w:val="00DE6812"/>
    <w:rsid w:val="00DF1A3F"/>
    <w:rsid w:val="00DF2E7F"/>
    <w:rsid w:val="00DF5958"/>
    <w:rsid w:val="00DF6818"/>
    <w:rsid w:val="00E035C4"/>
    <w:rsid w:val="00E04624"/>
    <w:rsid w:val="00E05153"/>
    <w:rsid w:val="00E10736"/>
    <w:rsid w:val="00E12B1A"/>
    <w:rsid w:val="00E2512E"/>
    <w:rsid w:val="00E271DD"/>
    <w:rsid w:val="00E31249"/>
    <w:rsid w:val="00E33752"/>
    <w:rsid w:val="00E34413"/>
    <w:rsid w:val="00E3484E"/>
    <w:rsid w:val="00E350A9"/>
    <w:rsid w:val="00E41631"/>
    <w:rsid w:val="00E54AF0"/>
    <w:rsid w:val="00E560F4"/>
    <w:rsid w:val="00E56604"/>
    <w:rsid w:val="00E62178"/>
    <w:rsid w:val="00E67424"/>
    <w:rsid w:val="00E7285D"/>
    <w:rsid w:val="00E74839"/>
    <w:rsid w:val="00E833FB"/>
    <w:rsid w:val="00E83947"/>
    <w:rsid w:val="00E83EB2"/>
    <w:rsid w:val="00E8736A"/>
    <w:rsid w:val="00E91DFA"/>
    <w:rsid w:val="00E94755"/>
    <w:rsid w:val="00E96A02"/>
    <w:rsid w:val="00E96F15"/>
    <w:rsid w:val="00EA2D5A"/>
    <w:rsid w:val="00EA455E"/>
    <w:rsid w:val="00EA7558"/>
    <w:rsid w:val="00EB263C"/>
    <w:rsid w:val="00EC0EE1"/>
    <w:rsid w:val="00EC43B5"/>
    <w:rsid w:val="00EC4FDB"/>
    <w:rsid w:val="00EC5177"/>
    <w:rsid w:val="00EE43CB"/>
    <w:rsid w:val="00EE7D80"/>
    <w:rsid w:val="00EF3552"/>
    <w:rsid w:val="00EF3915"/>
    <w:rsid w:val="00EF56AE"/>
    <w:rsid w:val="00EF5828"/>
    <w:rsid w:val="00F0183D"/>
    <w:rsid w:val="00F0313E"/>
    <w:rsid w:val="00F07E79"/>
    <w:rsid w:val="00F11FB0"/>
    <w:rsid w:val="00F1770E"/>
    <w:rsid w:val="00F241BD"/>
    <w:rsid w:val="00F25CB6"/>
    <w:rsid w:val="00F30F58"/>
    <w:rsid w:val="00F332C7"/>
    <w:rsid w:val="00F35D14"/>
    <w:rsid w:val="00F36014"/>
    <w:rsid w:val="00F44892"/>
    <w:rsid w:val="00F466A3"/>
    <w:rsid w:val="00F5517E"/>
    <w:rsid w:val="00F56647"/>
    <w:rsid w:val="00F712CA"/>
    <w:rsid w:val="00F72140"/>
    <w:rsid w:val="00F77EA3"/>
    <w:rsid w:val="00F86594"/>
    <w:rsid w:val="00F916D0"/>
    <w:rsid w:val="00F9185D"/>
    <w:rsid w:val="00F978E4"/>
    <w:rsid w:val="00FA0B10"/>
    <w:rsid w:val="00FA28C3"/>
    <w:rsid w:val="00FA3D01"/>
    <w:rsid w:val="00FA4296"/>
    <w:rsid w:val="00FB5E77"/>
    <w:rsid w:val="00FC2EAF"/>
    <w:rsid w:val="00FC316F"/>
    <w:rsid w:val="00FD2F36"/>
    <w:rsid w:val="00FD7E11"/>
    <w:rsid w:val="00FE3650"/>
    <w:rsid w:val="00FE5C9F"/>
    <w:rsid w:val="00FF1227"/>
    <w:rsid w:val="00FF2C01"/>
    <w:rsid w:val="1E321EC0"/>
    <w:rsid w:val="21F05DBA"/>
    <w:rsid w:val="331F38AB"/>
    <w:rsid w:val="3D5076C9"/>
    <w:rsid w:val="41FE0FDD"/>
    <w:rsid w:val="428D1659"/>
    <w:rsid w:val="52BA10C9"/>
    <w:rsid w:val="72A22A50"/>
    <w:rsid w:val="7C7D7CCB"/>
    <w:rsid w:val="7D5E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1">
    <w:name w:val="Hyperlink"/>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9"/>
    <w:link w:val="3"/>
    <w:semiHidden/>
    <w:qFormat/>
    <w:uiPriority w:val="99"/>
    <w:rPr>
      <w:sz w:val="18"/>
      <w:szCs w:val="18"/>
    </w:rPr>
  </w:style>
  <w:style w:type="character" w:customStyle="1" w:styleId="17">
    <w:name w:val="批注文字 字符"/>
    <w:basedOn w:val="9"/>
    <w:link w:val="2"/>
    <w:semiHidden/>
    <w:qFormat/>
    <w:uiPriority w:val="99"/>
  </w:style>
  <w:style w:type="character" w:customStyle="1" w:styleId="18">
    <w:name w:val="批注主题 字符"/>
    <w:basedOn w:val="17"/>
    <w:link w:val="6"/>
    <w:semiHidden/>
    <w:qFormat/>
    <w:uiPriority w:val="99"/>
    <w:rPr>
      <w:b/>
      <w:bCs/>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3884E-EB87-42C6-9D4C-6B310236B7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4135</Words>
  <Characters>4374</Characters>
  <Lines>129</Lines>
  <Paragraphs>125</Paragraphs>
  <TotalTime>111</TotalTime>
  <ScaleCrop>false</ScaleCrop>
  <LinksUpToDate>false</LinksUpToDate>
  <CharactersWithSpaces>4388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2024-09-10T05:11:00Z</dcterms:created>
  <dc:creator>靳蕊</dc:creator>
  <cp:lastModifiedBy>丁也涵</cp:lastModifiedBy>
  <cp:lastPrinted>2025-10-15T01:26:00Z</cp:lastPrinted>
  <dcterms:modified xsi:type="dcterms:W3CDTF">2025-10-29T01:25:39Z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eyJoZGlkIjoiYjEzYTdiNTMyMDc0MDNkNTZhZmRmYWFhOThiMWNiNjkiLCJ1c2VySWQiOiIxNzQyMTQ3NzU3In0=</vt:lpwstr>
  </property>
  <property fmtid="{D5CDD505-2E9C-101B-9397-08002B2CF9AE}" pid="3" name="KSOProductBuildVer">
    <vt:lpwstr>2052-12.1.0.22529</vt:lpwstr>
  </property>
  <property fmtid="{D5CDD505-2E9C-101B-9397-08002B2CF9AE}" pid="4" name="ICV">
    <vt:lpwstr>0A05D913C3014E33B6FDA5F35984E8F7_13</vt:lpwstr>
  </property>
</Properties>
</file>